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3A8" w:rsidRPr="007E23A8" w:rsidRDefault="007E23A8" w:rsidP="007E23A8">
      <w:pPr>
        <w:tabs>
          <w:tab w:val="clear" w:pos="1247"/>
          <w:tab w:val="clear" w:pos="1814"/>
          <w:tab w:val="clear" w:pos="2381"/>
          <w:tab w:val="clear" w:pos="2948"/>
          <w:tab w:val="clear" w:pos="3515"/>
        </w:tabs>
        <w:bidi/>
        <w:spacing w:after="120" w:line="400" w:lineRule="exact"/>
        <w:ind w:left="1134"/>
        <w:jc w:val="both"/>
        <w:rPr>
          <w:rFonts w:ascii="Traditional Arabic" w:hAnsi="Traditional Arabic" w:cs="Traditional Arabic"/>
          <w:b/>
          <w:bCs/>
          <w:sz w:val="34"/>
          <w:szCs w:val="34"/>
          <w:rtl/>
          <w:lang w:val="en-US"/>
        </w:rPr>
      </w:pPr>
      <w:r w:rsidRPr="007E23A8">
        <w:rPr>
          <w:rFonts w:ascii="Traditional Arabic" w:hAnsi="Traditional Arabic" w:cs="Traditional Arabic"/>
          <w:b/>
          <w:bCs/>
          <w:sz w:val="34"/>
          <w:szCs w:val="34"/>
          <w:rtl/>
          <w:lang w:val="en-US"/>
        </w:rPr>
        <w:t xml:space="preserve">مقرر </w:t>
      </w:r>
      <w:r w:rsidRPr="007E23A8">
        <w:rPr>
          <w:rFonts w:cs="Traditional Arabic"/>
          <w:b/>
          <w:bCs/>
          <w:sz w:val="30"/>
          <w:szCs w:val="30"/>
          <w:rtl/>
          <w:lang w:val="en-US"/>
        </w:rPr>
        <w:t>الفريق العامل المفتوح العضوية</w:t>
      </w:r>
      <w:r w:rsidRPr="007E23A8">
        <w:rPr>
          <w:rFonts w:ascii="Traditional Arabic" w:hAnsi="Traditional Arabic" w:cs="Traditional Arabic"/>
          <w:b/>
          <w:bCs/>
          <w:sz w:val="34"/>
          <w:szCs w:val="34"/>
          <w:rtl/>
          <w:lang w:val="en-US"/>
        </w:rPr>
        <w:t xml:space="preserve"> -</w:t>
      </w:r>
      <w:r w:rsidRPr="007E23A8">
        <w:rPr>
          <w:rFonts w:ascii="Traditional Arabic" w:hAnsi="Traditional Arabic" w:cs="Traditional Arabic" w:hint="cs"/>
          <w:b/>
          <w:bCs/>
          <w:sz w:val="34"/>
          <w:szCs w:val="34"/>
          <w:rtl/>
          <w:lang w:val="en-US"/>
        </w:rPr>
        <w:t>9/1</w:t>
      </w:r>
      <w:r w:rsidRPr="007E23A8">
        <w:rPr>
          <w:rFonts w:ascii="Traditional Arabic" w:hAnsi="Traditional Arabic" w:cs="Traditional Arabic"/>
          <w:b/>
          <w:bCs/>
          <w:sz w:val="34"/>
          <w:szCs w:val="34"/>
          <w:rtl/>
          <w:lang w:val="en-US"/>
        </w:rPr>
        <w:t xml:space="preserve">: </w:t>
      </w:r>
      <w:r w:rsidRPr="007E23A8">
        <w:rPr>
          <w:rFonts w:cs="Traditional Arabic"/>
          <w:b/>
          <w:bCs/>
          <w:sz w:val="34"/>
          <w:szCs w:val="34"/>
          <w:rtl/>
        </w:rPr>
        <w:t>متابعة إعلان كارتاخينا بشأن منع توليد النفايات الخطرة والنفايات الأخرى والتقليل منها إلى الحد الأدنى واستعادتها</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i/>
          <w:iCs/>
          <w:sz w:val="30"/>
          <w:szCs w:val="30"/>
          <w:rtl/>
          <w:lang w:val="en-US"/>
        </w:rPr>
      </w:pPr>
      <w:r w:rsidRPr="007E23A8">
        <w:rPr>
          <w:rFonts w:cs="Traditional Arabic"/>
          <w:i/>
          <w:iCs/>
          <w:sz w:val="30"/>
          <w:szCs w:val="30"/>
          <w:rtl/>
          <w:lang w:val="en-US"/>
        </w:rPr>
        <w:t>إن الفريق العامل المفتوح العضوية،</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7E23A8">
        <w:rPr>
          <w:rFonts w:ascii="Traditional Arabic" w:hAnsi="Traditional Arabic" w:cs="Traditional Arabic"/>
          <w:sz w:val="30"/>
          <w:szCs w:val="30"/>
          <w:rtl/>
          <w:lang w:val="en-US"/>
        </w:rPr>
        <w:t>1-</w:t>
      </w:r>
      <w:r w:rsidRPr="007E23A8">
        <w:rPr>
          <w:rFonts w:ascii="Traditional Arabic" w:hAnsi="Traditional Arabic" w:cs="Traditional Arabic"/>
          <w:sz w:val="30"/>
          <w:szCs w:val="30"/>
          <w:rtl/>
          <w:lang w:val="en-US"/>
        </w:rPr>
        <w:tab/>
      </w:r>
      <w:r w:rsidRPr="007E23A8">
        <w:rPr>
          <w:rFonts w:ascii="Traditional Arabic" w:hAnsi="Traditional Arabic" w:cs="Traditional Arabic"/>
          <w:i/>
          <w:iCs/>
          <w:sz w:val="30"/>
          <w:szCs w:val="30"/>
          <w:rtl/>
          <w:lang w:val="en-US"/>
        </w:rPr>
        <w:t>يحيط علماً</w:t>
      </w:r>
      <w:r w:rsidRPr="007E23A8">
        <w:rPr>
          <w:rFonts w:ascii="Traditional Arabic" w:hAnsi="Traditional Arabic" w:cs="Traditional Arabic"/>
          <w:sz w:val="30"/>
          <w:szCs w:val="30"/>
          <w:rtl/>
          <w:lang w:val="en-US"/>
        </w:rPr>
        <w:t xml:space="preserve"> بالطلب المقدم من مؤتمر الأطراف في اجتماعه الحادي عشر بأن يُعد الفريق العامل خر</w:t>
      </w:r>
      <w:r w:rsidRPr="007E23A8">
        <w:rPr>
          <w:rFonts w:ascii="Traditional Arabic" w:hAnsi="Traditional Arabic" w:cs="Traditional Arabic" w:hint="cs"/>
          <w:sz w:val="30"/>
          <w:szCs w:val="30"/>
          <w:rtl/>
          <w:lang w:val="en-US"/>
        </w:rPr>
        <w:t>ي</w:t>
      </w:r>
      <w:r w:rsidRPr="007E23A8">
        <w:rPr>
          <w:rFonts w:ascii="Traditional Arabic" w:hAnsi="Traditional Arabic" w:cs="Traditional Arabic"/>
          <w:sz w:val="30"/>
          <w:szCs w:val="30"/>
          <w:rtl/>
          <w:lang w:val="en-US"/>
        </w:rPr>
        <w:t xml:space="preserve">طة طريق للعمل وأن يستعرض التقدم الذي أحرزته الأطراف على صعيد تنفيذ إعلان كارتاخينا </w:t>
      </w:r>
      <w:r w:rsidRPr="007E23A8">
        <w:rPr>
          <w:rFonts w:cs="Traditional Arabic"/>
          <w:sz w:val="30"/>
          <w:szCs w:val="30"/>
          <w:rtl/>
        </w:rPr>
        <w:t>بشأن منع توليد النفايات الخطرة والنفايات الأخرى والتقليل منها إلى الحد الأدنى واستعادتها</w:t>
      </w:r>
      <w:r w:rsidRPr="007E23A8">
        <w:rPr>
          <w:rFonts w:ascii="Traditional Arabic" w:hAnsi="Traditional Arabic" w:cs="Traditional Arabic"/>
          <w:sz w:val="30"/>
          <w:szCs w:val="30"/>
          <w:rtl/>
          <w:lang w:val="en-US"/>
        </w:rPr>
        <w:t>؛</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7E23A8">
        <w:rPr>
          <w:rFonts w:ascii="Traditional Arabic" w:hAnsi="Traditional Arabic" w:cs="Traditional Arabic"/>
          <w:sz w:val="30"/>
          <w:szCs w:val="30"/>
          <w:rtl/>
          <w:lang w:val="en-US"/>
        </w:rPr>
        <w:t>2-</w:t>
      </w:r>
      <w:r w:rsidRPr="007E23A8">
        <w:rPr>
          <w:rFonts w:ascii="Traditional Arabic" w:hAnsi="Traditional Arabic" w:cs="Traditional Arabic"/>
          <w:sz w:val="30"/>
          <w:szCs w:val="30"/>
          <w:rtl/>
          <w:lang w:val="en-US"/>
        </w:rPr>
        <w:tab/>
      </w:r>
      <w:r w:rsidRPr="007E23A8">
        <w:rPr>
          <w:rFonts w:ascii="Traditional Arabic" w:hAnsi="Traditional Arabic" w:cs="Traditional Arabic"/>
          <w:i/>
          <w:iCs/>
          <w:sz w:val="30"/>
          <w:szCs w:val="30"/>
          <w:rtl/>
          <w:lang w:val="en-US"/>
        </w:rPr>
        <w:t>يوصي</w:t>
      </w:r>
      <w:r w:rsidRPr="007E23A8">
        <w:rPr>
          <w:rFonts w:ascii="Traditional Arabic" w:hAnsi="Traditional Arabic" w:cs="Traditional Arabic"/>
          <w:sz w:val="30"/>
          <w:szCs w:val="30"/>
          <w:rtl/>
          <w:lang w:val="en-US"/>
        </w:rPr>
        <w:t xml:space="preserve"> بأن يعتمد مؤتمر الأطراف في اجتماعه الثاني عشر خارطة الطريق للعمل في تنفيذ إعلان كارتاخينا الوارد في مرفق هذا المقرر؛</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7E23A8">
        <w:rPr>
          <w:rFonts w:ascii="Traditional Arabic" w:hAnsi="Traditional Arabic" w:cs="Traditional Arabic"/>
          <w:sz w:val="30"/>
          <w:szCs w:val="30"/>
          <w:rtl/>
          <w:lang w:val="en-US"/>
        </w:rPr>
        <w:t>3-</w:t>
      </w:r>
      <w:r w:rsidRPr="007E23A8">
        <w:rPr>
          <w:rFonts w:ascii="Traditional Arabic" w:hAnsi="Traditional Arabic" w:cs="Traditional Arabic"/>
          <w:sz w:val="30"/>
          <w:szCs w:val="30"/>
          <w:rtl/>
          <w:lang w:val="en-US"/>
        </w:rPr>
        <w:tab/>
      </w:r>
      <w:r w:rsidRPr="007E23A8">
        <w:rPr>
          <w:rFonts w:ascii="Traditional Arabic" w:hAnsi="Traditional Arabic" w:cs="Traditional Arabic"/>
          <w:i/>
          <w:iCs/>
          <w:sz w:val="30"/>
          <w:szCs w:val="30"/>
          <w:rtl/>
          <w:lang w:val="en-US"/>
        </w:rPr>
        <w:t>يوصي أيضاً</w:t>
      </w:r>
      <w:r w:rsidRPr="007E23A8">
        <w:rPr>
          <w:rFonts w:ascii="Traditional Arabic" w:hAnsi="Traditional Arabic" w:cs="Traditional Arabic"/>
          <w:sz w:val="30"/>
          <w:szCs w:val="30"/>
          <w:rtl/>
          <w:lang w:val="en-US"/>
        </w:rPr>
        <w:t xml:space="preserve"> بأن ي</w:t>
      </w:r>
      <w:r w:rsidRPr="007E23A8">
        <w:rPr>
          <w:rFonts w:ascii="Traditional Arabic" w:hAnsi="Traditional Arabic" w:cs="Traditional Arabic" w:hint="cs"/>
          <w:sz w:val="30"/>
          <w:szCs w:val="30"/>
          <w:rtl/>
          <w:lang w:val="en-US"/>
        </w:rPr>
        <w:t xml:space="preserve">كلف </w:t>
      </w:r>
      <w:r w:rsidRPr="007E23A8">
        <w:rPr>
          <w:rFonts w:ascii="Traditional Arabic" w:hAnsi="Traditional Arabic" w:cs="Traditional Arabic"/>
          <w:sz w:val="30"/>
          <w:szCs w:val="30"/>
          <w:rtl/>
          <w:lang w:val="en-US"/>
        </w:rPr>
        <w:t xml:space="preserve">مؤتمر الأطراف في اجتماعه الثاني عشر فريق الخبراء العامل المعني بالإدارة السليمة بيئياً أو فريقاً جديداً عاملاً فيما بين الدورات </w:t>
      </w:r>
      <w:r w:rsidRPr="007E23A8">
        <w:rPr>
          <w:rFonts w:ascii="Traditional Arabic" w:hAnsi="Traditional Arabic" w:cs="Traditional Arabic" w:hint="cs"/>
          <w:sz w:val="30"/>
          <w:szCs w:val="30"/>
          <w:rtl/>
          <w:lang w:val="en-US"/>
        </w:rPr>
        <w:t>بأن ي</w:t>
      </w:r>
      <w:r w:rsidRPr="007E23A8">
        <w:rPr>
          <w:rFonts w:ascii="Traditional Arabic" w:hAnsi="Traditional Arabic" w:cs="Traditional Arabic"/>
          <w:sz w:val="30"/>
          <w:szCs w:val="30"/>
          <w:rtl/>
          <w:lang w:val="en-US"/>
        </w:rPr>
        <w:t>ضع توجيهات لمساعدة الأطراف في وضع استراتيجيات ناجعة لإنجاز منع توليد النفايات الخطرة والنفايات الأخرى والتقليل منها إلى الحد الأدنى و</w:t>
      </w:r>
      <w:r w:rsidRPr="007E23A8">
        <w:rPr>
          <w:rFonts w:ascii="Traditional Arabic" w:hAnsi="Traditional Arabic" w:cs="Traditional Arabic" w:hint="cs"/>
          <w:sz w:val="30"/>
          <w:szCs w:val="30"/>
          <w:rtl/>
          <w:lang w:val="en-US"/>
        </w:rPr>
        <w:t>أن ي</w:t>
      </w:r>
      <w:r w:rsidRPr="007E23A8">
        <w:rPr>
          <w:rFonts w:ascii="Traditional Arabic" w:hAnsi="Traditional Arabic" w:cs="Traditional Arabic"/>
          <w:sz w:val="30"/>
          <w:szCs w:val="30"/>
          <w:rtl/>
          <w:lang w:val="en-US"/>
        </w:rPr>
        <w:t>دعو دولة رائدة من داخل الفريق لتنفيذ العمل المتعلق بوضع التوجيهات.</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jc w:val="both"/>
        <w:rPr>
          <w:rFonts w:ascii="Traditional Arabic" w:hAnsi="Traditional Arabic" w:cs="Traditional Arabic"/>
          <w:b/>
          <w:bCs/>
          <w:sz w:val="30"/>
          <w:szCs w:val="30"/>
          <w:rtl/>
          <w:lang w:val="en-US"/>
        </w:rPr>
      </w:pPr>
      <w:r w:rsidRPr="007E23A8">
        <w:rPr>
          <w:rFonts w:ascii="Traditional Arabic" w:hAnsi="Traditional Arabic" w:cs="Traditional Arabic"/>
          <w:b/>
          <w:bCs/>
          <w:sz w:val="30"/>
          <w:szCs w:val="30"/>
          <w:rtl/>
          <w:lang w:val="en-US"/>
        </w:rPr>
        <w:t>مرفق</w:t>
      </w:r>
      <w:r w:rsidRPr="007E23A8">
        <w:rPr>
          <w:rFonts w:ascii="Traditional Arabic" w:hAnsi="Traditional Arabic" w:cs="Traditional Arabic" w:hint="cs"/>
          <w:b/>
          <w:bCs/>
          <w:sz w:val="30"/>
          <w:szCs w:val="30"/>
          <w:rtl/>
          <w:lang w:val="en-US"/>
        </w:rPr>
        <w:t xml:space="preserve"> </w:t>
      </w:r>
      <w:r w:rsidRPr="007E23A8">
        <w:rPr>
          <w:rFonts w:ascii="Traditional Arabic" w:hAnsi="Traditional Arabic" w:cs="Traditional Arabic"/>
          <w:b/>
          <w:bCs/>
          <w:sz w:val="30"/>
          <w:szCs w:val="30"/>
          <w:rtl/>
          <w:lang w:val="en-US"/>
        </w:rPr>
        <w:t xml:space="preserve">مقرر </w:t>
      </w:r>
      <w:r w:rsidRPr="007E23A8">
        <w:rPr>
          <w:rFonts w:cs="Traditional Arabic"/>
          <w:b/>
          <w:bCs/>
          <w:sz w:val="30"/>
          <w:szCs w:val="30"/>
          <w:rtl/>
          <w:lang w:val="en-US"/>
        </w:rPr>
        <w:t>الفريق العامل المفتوح العضوية</w:t>
      </w:r>
      <w:r w:rsidRPr="007E23A8">
        <w:rPr>
          <w:rFonts w:ascii="Traditional Arabic" w:hAnsi="Traditional Arabic" w:cs="Traditional Arabic"/>
          <w:b/>
          <w:bCs/>
          <w:sz w:val="30"/>
          <w:szCs w:val="30"/>
          <w:rtl/>
          <w:lang w:val="en-US"/>
        </w:rPr>
        <w:t xml:space="preserve"> -</w:t>
      </w:r>
      <w:r w:rsidRPr="007E23A8">
        <w:rPr>
          <w:rFonts w:ascii="Traditional Arabic" w:hAnsi="Traditional Arabic" w:cs="Traditional Arabic" w:hint="cs"/>
          <w:b/>
          <w:bCs/>
          <w:sz w:val="30"/>
          <w:szCs w:val="30"/>
          <w:rtl/>
          <w:lang w:val="en-US"/>
        </w:rPr>
        <w:t>9/1</w:t>
      </w:r>
      <w:r w:rsidRPr="007E23A8">
        <w:rPr>
          <w:rFonts w:ascii="Traditional Arabic" w:hAnsi="Traditional Arabic" w:cs="Traditional Arabic"/>
          <w:b/>
          <w:bCs/>
          <w:sz w:val="30"/>
          <w:szCs w:val="30"/>
          <w:rtl/>
          <w:lang w:val="en-US"/>
        </w:rPr>
        <w:t>:</w:t>
      </w:r>
    </w:p>
    <w:p w:rsidR="007E23A8" w:rsidRPr="007E23A8" w:rsidRDefault="007E23A8" w:rsidP="007E23A8">
      <w:pPr>
        <w:tabs>
          <w:tab w:val="clear" w:pos="1247"/>
          <w:tab w:val="clear" w:pos="1814"/>
          <w:tab w:val="clear" w:pos="2381"/>
          <w:tab w:val="clear" w:pos="2948"/>
          <w:tab w:val="clear" w:pos="3515"/>
          <w:tab w:val="left" w:pos="3117"/>
        </w:tabs>
        <w:bidi/>
        <w:spacing w:after="120" w:line="400" w:lineRule="exact"/>
        <w:ind w:left="1134"/>
        <w:jc w:val="both"/>
        <w:rPr>
          <w:rFonts w:ascii="Traditional Arabic" w:hAnsi="Traditional Arabic" w:cs="Traditional Arabic"/>
          <w:b/>
          <w:bCs/>
          <w:sz w:val="30"/>
          <w:szCs w:val="30"/>
          <w:rtl/>
          <w:lang w:val="en-US"/>
        </w:rPr>
      </w:pPr>
      <w:r w:rsidRPr="007E23A8">
        <w:rPr>
          <w:rFonts w:ascii="Traditional Arabic" w:hAnsi="Traditional Arabic" w:cs="Traditional Arabic"/>
          <w:b/>
          <w:bCs/>
          <w:sz w:val="30"/>
          <w:szCs w:val="30"/>
          <w:rtl/>
          <w:lang w:val="en-US"/>
        </w:rPr>
        <w:t>خر</w:t>
      </w:r>
      <w:r w:rsidRPr="007E23A8">
        <w:rPr>
          <w:rFonts w:ascii="Traditional Arabic" w:hAnsi="Traditional Arabic" w:cs="Traditional Arabic" w:hint="cs"/>
          <w:b/>
          <w:bCs/>
          <w:sz w:val="30"/>
          <w:szCs w:val="30"/>
          <w:rtl/>
          <w:lang w:val="en-US"/>
        </w:rPr>
        <w:t>ي</w:t>
      </w:r>
      <w:r w:rsidRPr="007E23A8">
        <w:rPr>
          <w:rFonts w:ascii="Traditional Arabic" w:hAnsi="Traditional Arabic" w:cs="Traditional Arabic"/>
          <w:b/>
          <w:bCs/>
          <w:sz w:val="30"/>
          <w:szCs w:val="30"/>
          <w:rtl/>
          <w:lang w:val="en-US"/>
        </w:rPr>
        <w:t>طة طريق للعمل المتعلق بتنفيذ إعلان كارتاخينا</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sz w:val="30"/>
          <w:szCs w:val="30"/>
          <w:rtl/>
          <w:lang w:val="en-US"/>
        </w:rPr>
      </w:pPr>
      <w:r w:rsidRPr="007E23A8">
        <w:rPr>
          <w:rFonts w:ascii="Traditional Arabic" w:hAnsi="Traditional Arabic" w:cs="Traditional Arabic" w:hint="cs"/>
          <w:sz w:val="30"/>
          <w:szCs w:val="30"/>
          <w:rtl/>
          <w:lang w:val="en-US"/>
        </w:rPr>
        <w:t>1-</w:t>
      </w:r>
      <w:r w:rsidRPr="007E23A8">
        <w:rPr>
          <w:rFonts w:ascii="Traditional Arabic" w:hAnsi="Traditional Arabic" w:cs="Traditional Arabic" w:hint="cs"/>
          <w:sz w:val="30"/>
          <w:szCs w:val="30"/>
          <w:rtl/>
          <w:lang w:val="en-US"/>
        </w:rPr>
        <w:tab/>
      </w:r>
      <w:r w:rsidRPr="007E23A8">
        <w:rPr>
          <w:rFonts w:ascii="Traditional Arabic" w:hAnsi="Traditional Arabic" w:cs="Traditional Arabic"/>
          <w:sz w:val="30"/>
          <w:szCs w:val="30"/>
          <w:rtl/>
          <w:lang w:val="en-US"/>
        </w:rPr>
        <w:t xml:space="preserve">تساهم خارطة الطريق للعمل المتعلق بتنفيذ إعلان كارتاخينا </w:t>
      </w:r>
      <w:r w:rsidRPr="007E23A8">
        <w:rPr>
          <w:rFonts w:ascii="Traditional Arabic" w:hAnsi="Traditional Arabic" w:cs="Traditional Arabic" w:hint="cs"/>
          <w:sz w:val="30"/>
          <w:szCs w:val="30"/>
          <w:rtl/>
          <w:lang w:val="en-US"/>
        </w:rPr>
        <w:t xml:space="preserve">المبين في الجدول أدناه </w:t>
      </w:r>
      <w:r w:rsidRPr="007E23A8">
        <w:rPr>
          <w:rFonts w:ascii="Traditional Arabic" w:hAnsi="Traditional Arabic" w:cs="Traditional Arabic"/>
          <w:sz w:val="30"/>
          <w:szCs w:val="30"/>
          <w:rtl/>
          <w:lang w:val="en-US"/>
        </w:rPr>
        <w:t xml:space="preserve">في إنجاز الأهداف الأساسية للإطار الاستراتيجي </w:t>
      </w:r>
      <w:r w:rsidRPr="007E23A8">
        <w:rPr>
          <w:rFonts w:ascii="Traditional Arabic" w:hAnsi="Traditional Arabic" w:cs="Traditional Arabic" w:hint="cs"/>
          <w:sz w:val="30"/>
          <w:szCs w:val="30"/>
          <w:rtl/>
          <w:lang w:val="en-US"/>
        </w:rPr>
        <w:t xml:space="preserve">لتنفيذ اتفاقية بازل </w:t>
      </w:r>
      <w:r w:rsidRPr="007E23A8">
        <w:rPr>
          <w:rFonts w:ascii="Traditional Arabic" w:hAnsi="Traditional Arabic" w:cs="Traditional Arabic"/>
          <w:sz w:val="30"/>
          <w:szCs w:val="30"/>
          <w:rtl/>
          <w:lang w:val="en-US"/>
        </w:rPr>
        <w:t>للفترة من 2012</w:t>
      </w:r>
      <w:r w:rsidRPr="007E23A8">
        <w:rPr>
          <w:rFonts w:ascii="Traditional Arabic" w:hAnsi="Traditional Arabic" w:cs="Traditional Arabic"/>
          <w:sz w:val="30"/>
          <w:szCs w:val="30"/>
          <w:lang w:val="en-US"/>
        </w:rPr>
        <w:t>-</w:t>
      </w:r>
      <w:r w:rsidRPr="007E23A8">
        <w:rPr>
          <w:rFonts w:ascii="Traditional Arabic" w:hAnsi="Traditional Arabic" w:cs="Traditional Arabic"/>
          <w:sz w:val="30"/>
          <w:szCs w:val="30"/>
          <w:rtl/>
          <w:lang w:val="en-US"/>
        </w:rPr>
        <w:t>2021</w:t>
      </w:r>
      <w:r w:rsidRPr="007E23A8">
        <w:rPr>
          <w:rFonts w:ascii="Traditional Arabic" w:hAnsi="Traditional Arabic" w:cs="Traditional Arabic" w:hint="cs"/>
          <w:sz w:val="30"/>
          <w:szCs w:val="30"/>
          <w:rtl/>
          <w:lang w:val="en-US"/>
        </w:rPr>
        <w:t>.</w:t>
      </w:r>
    </w:p>
    <w:p w:rsidR="007E23A8" w:rsidRPr="007E23A8" w:rsidRDefault="007E23A8" w:rsidP="007E23A8">
      <w:pPr>
        <w:tabs>
          <w:tab w:val="clear" w:pos="1247"/>
          <w:tab w:val="clear" w:pos="1814"/>
          <w:tab w:val="clear" w:pos="2381"/>
          <w:tab w:val="clear" w:pos="2948"/>
          <w:tab w:val="clear" w:pos="3515"/>
        </w:tabs>
        <w:bidi/>
        <w:spacing w:after="120" w:line="400" w:lineRule="exact"/>
        <w:ind w:left="1134" w:firstLine="566"/>
        <w:jc w:val="both"/>
        <w:rPr>
          <w:rFonts w:ascii="Traditional Arabic" w:hAnsi="Traditional Arabic" w:cs="Traditional Arabic" w:hint="cs"/>
          <w:sz w:val="30"/>
          <w:szCs w:val="30"/>
          <w:rtl/>
          <w:lang w:val="en-US"/>
        </w:rPr>
      </w:pPr>
      <w:r w:rsidRPr="007E23A8">
        <w:rPr>
          <w:rFonts w:ascii="Traditional Arabic" w:hAnsi="Traditional Arabic" w:cs="Traditional Arabic" w:hint="cs"/>
          <w:sz w:val="30"/>
          <w:szCs w:val="30"/>
          <w:rtl/>
          <w:lang w:val="en-US"/>
        </w:rPr>
        <w:t>2-</w:t>
      </w:r>
      <w:r w:rsidRPr="007E23A8">
        <w:rPr>
          <w:rFonts w:ascii="Traditional Arabic" w:hAnsi="Traditional Arabic" w:cs="Traditional Arabic" w:hint="cs"/>
          <w:sz w:val="30"/>
          <w:szCs w:val="30"/>
          <w:rtl/>
          <w:lang w:val="en-US"/>
        </w:rPr>
        <w:tab/>
      </w:r>
      <w:r w:rsidRPr="007E23A8">
        <w:rPr>
          <w:rFonts w:ascii="Traditional Arabic" w:hAnsi="Traditional Arabic" w:cs="Traditional Arabic"/>
          <w:sz w:val="30"/>
          <w:szCs w:val="30"/>
          <w:rtl/>
          <w:lang w:val="en-US"/>
        </w:rPr>
        <w:t xml:space="preserve">ويمكن أن يساعد نشاط جمع المعلومات الوارد في خارطة الطريق أدناه الأطراف وغيرها من الجهات في تحديد أنشطة محددة لتنفيذ إعلان كارتاخينا. وستوضع الأنشطة وتنفذ بالتعاون مع وبدعم من المبادرات ذات الصلة </w:t>
      </w:r>
      <w:r w:rsidRPr="007E23A8">
        <w:rPr>
          <w:rFonts w:ascii="Traditional Arabic" w:hAnsi="Traditional Arabic" w:cs="Traditional Arabic" w:hint="cs"/>
          <w:sz w:val="30"/>
          <w:szCs w:val="30"/>
          <w:rtl/>
          <w:lang w:val="en-US"/>
        </w:rPr>
        <w:t xml:space="preserve">تحت رعاية </w:t>
      </w:r>
      <w:r w:rsidRPr="007E23A8">
        <w:rPr>
          <w:rFonts w:ascii="Traditional Arabic" w:hAnsi="Traditional Arabic" w:cs="Traditional Arabic"/>
          <w:sz w:val="30"/>
          <w:szCs w:val="30"/>
          <w:rtl/>
          <w:lang w:val="en-US"/>
        </w:rPr>
        <w:t>اتفاقية بازل والكيانات الأخرى مثل فريق الخبراء العامل المعني بالإدارة السليمة بيئياً.</w:t>
      </w:r>
    </w:p>
    <w:tbl>
      <w:tblPr>
        <w:bidiVisual/>
        <w:tblW w:w="836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9"/>
        <w:gridCol w:w="2694"/>
        <w:gridCol w:w="1984"/>
        <w:gridCol w:w="2126"/>
      </w:tblGrid>
      <w:tr w:rsidR="007E23A8" w:rsidRPr="007E23A8" w:rsidTr="00A63D28">
        <w:trPr>
          <w:cantSplit/>
          <w:trHeight w:val="395"/>
          <w:tblHeader/>
        </w:trPr>
        <w:tc>
          <w:tcPr>
            <w:tcW w:w="1559" w:type="dxa"/>
            <w:tcBorders>
              <w:top w:val="single" w:sz="4" w:space="0" w:color="auto"/>
              <w:left w:val="single" w:sz="4" w:space="0" w:color="auto"/>
              <w:bottom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cs="Traditional Arabic"/>
                <w:iCs/>
                <w:w w:val="95"/>
                <w:sz w:val="28"/>
                <w:szCs w:val="28"/>
                <w:rtl/>
                <w:lang w:val="en-US"/>
              </w:rPr>
            </w:pPr>
            <w:r w:rsidRPr="007E23A8">
              <w:rPr>
                <w:rFonts w:cs="Traditional Arabic"/>
                <w:iCs/>
                <w:w w:val="95"/>
                <w:sz w:val="28"/>
                <w:szCs w:val="28"/>
                <w:rtl/>
                <w:lang w:val="en-US"/>
              </w:rPr>
              <w:t>مجالات العمل</w:t>
            </w:r>
          </w:p>
        </w:tc>
        <w:tc>
          <w:tcPr>
            <w:tcW w:w="2694" w:type="dxa"/>
            <w:tcBorders>
              <w:top w:val="single" w:sz="4" w:space="0" w:color="auto"/>
              <w:left w:val="single" w:sz="4" w:space="0" w:color="auto"/>
              <w:bottom w:val="single" w:sz="4" w:space="0" w:color="auto"/>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eastAsia="Batang" w:cs="Traditional Arabic"/>
                <w:iCs/>
                <w:w w:val="95"/>
                <w:sz w:val="28"/>
                <w:szCs w:val="28"/>
                <w:rtl/>
                <w:lang w:val="en-US" w:eastAsia="ko-KR"/>
              </w:rPr>
            </w:pPr>
            <w:r w:rsidRPr="007E23A8">
              <w:rPr>
                <w:rFonts w:eastAsia="Batang" w:cs="Traditional Arabic"/>
                <w:iCs/>
                <w:w w:val="95"/>
                <w:sz w:val="28"/>
                <w:szCs w:val="28"/>
                <w:rtl/>
                <w:lang w:val="en-US" w:eastAsia="ko-KR"/>
              </w:rPr>
              <w:t>الأنشطة</w:t>
            </w:r>
          </w:p>
        </w:tc>
        <w:tc>
          <w:tcPr>
            <w:tcW w:w="1984" w:type="dxa"/>
            <w:tcBorders>
              <w:top w:val="single" w:sz="4" w:space="0" w:color="auto"/>
              <w:left w:val="single" w:sz="4" w:space="0" w:color="auto"/>
              <w:bottom w:val="single" w:sz="4" w:space="0" w:color="auto"/>
              <w:right w:val="single" w:sz="4" w:space="0" w:color="auto"/>
            </w:tcBorders>
          </w:tcPr>
          <w:p w:rsidR="007E23A8" w:rsidRPr="007E23A8" w:rsidRDefault="007E23A8" w:rsidP="007E23A8">
            <w:pPr>
              <w:widowControl w:val="0"/>
              <w:tabs>
                <w:tab w:val="clear" w:pos="1247"/>
              </w:tabs>
              <w:bidi/>
              <w:spacing w:after="60" w:line="320" w:lineRule="exact"/>
              <w:jc w:val="both"/>
              <w:rPr>
                <w:rFonts w:cs="Traditional Arabic"/>
                <w:iCs/>
                <w:w w:val="95"/>
                <w:sz w:val="28"/>
                <w:szCs w:val="28"/>
                <w:rtl/>
                <w:lang w:val="en-US"/>
              </w:rPr>
            </w:pPr>
            <w:r w:rsidRPr="007E23A8">
              <w:rPr>
                <w:rFonts w:cs="Traditional Arabic"/>
                <w:iCs/>
                <w:w w:val="95"/>
                <w:sz w:val="28"/>
                <w:szCs w:val="28"/>
                <w:rtl/>
                <w:lang w:val="en-US"/>
              </w:rPr>
              <w:t>الجهات الفاعلة المسؤولة</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s>
              <w:bidi/>
              <w:spacing w:after="60" w:line="320" w:lineRule="exact"/>
              <w:jc w:val="both"/>
              <w:rPr>
                <w:rFonts w:cs="Traditional Arabic"/>
                <w:iCs/>
                <w:w w:val="95"/>
                <w:sz w:val="28"/>
                <w:szCs w:val="28"/>
                <w:rtl/>
                <w:lang w:val="en-US"/>
              </w:rPr>
            </w:pPr>
            <w:r w:rsidRPr="007E23A8">
              <w:rPr>
                <w:rFonts w:cs="Traditional Arabic"/>
                <w:iCs/>
                <w:w w:val="95"/>
                <w:sz w:val="28"/>
                <w:szCs w:val="28"/>
                <w:rtl/>
                <w:lang w:val="en-US"/>
              </w:rPr>
              <w:t>الجدول الزمني</w:t>
            </w:r>
          </w:p>
        </w:tc>
      </w:tr>
      <w:tr w:rsidR="007E23A8" w:rsidRPr="007E23A8" w:rsidTr="00A63D28">
        <w:trPr>
          <w:cantSplit/>
          <w:trHeight w:val="941"/>
        </w:trPr>
        <w:tc>
          <w:tcPr>
            <w:tcW w:w="1559" w:type="dxa"/>
            <w:tcBorders>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cs="Traditional Arabic"/>
                <w:sz w:val="28"/>
                <w:szCs w:val="28"/>
                <w:rtl/>
              </w:rPr>
            </w:pPr>
            <w:r w:rsidRPr="007E23A8">
              <w:rPr>
                <w:rFonts w:cs="Traditional Arabic"/>
                <w:sz w:val="28"/>
                <w:szCs w:val="28"/>
                <w:rtl/>
              </w:rPr>
              <w:t>جمع المعلومات</w:t>
            </w:r>
          </w:p>
        </w:tc>
        <w:tc>
          <w:tcPr>
            <w:tcW w:w="2694" w:type="dxa"/>
            <w:tcBorders>
              <w:top w:val="single" w:sz="4" w:space="0" w:color="auto"/>
              <w:left w:val="single" w:sz="4" w:space="0" w:color="auto"/>
              <w:bottom w:val="nil"/>
              <w:right w:val="single" w:sz="4" w:space="0" w:color="auto"/>
            </w:tcBorders>
          </w:tcPr>
          <w:p w:rsidR="007E23A8" w:rsidRPr="007E23A8" w:rsidRDefault="007E23A8" w:rsidP="007E23A8">
            <w:pPr>
              <w:widowControl w:val="0"/>
              <w:numPr>
                <w:ilvl w:val="0"/>
                <w:numId w:val="13"/>
              </w:numPr>
              <w:tabs>
                <w:tab w:val="clear" w:pos="1247"/>
                <w:tab w:val="clear" w:pos="1814"/>
                <w:tab w:val="clear" w:pos="2381"/>
                <w:tab w:val="clear" w:pos="2948"/>
                <w:tab w:val="clear" w:pos="3515"/>
                <w:tab w:val="left" w:pos="459"/>
              </w:tabs>
              <w:bidi/>
              <w:spacing w:after="60" w:line="320" w:lineRule="exact"/>
              <w:ind w:left="34"/>
              <w:jc w:val="both"/>
              <w:rPr>
                <w:rFonts w:cs="Traditional Arabic"/>
                <w:sz w:val="28"/>
                <w:szCs w:val="28"/>
                <w:rtl/>
              </w:rPr>
            </w:pPr>
            <w:r w:rsidRPr="007E23A8">
              <w:rPr>
                <w:rFonts w:cs="Traditional Arabic"/>
                <w:sz w:val="28"/>
                <w:szCs w:val="28"/>
                <w:rtl/>
              </w:rPr>
              <w:t xml:space="preserve">تزويد الأمانة بمعلومات عن التجارب في مجال تنفيذ إعلان كارتاخينا مثل </w:t>
            </w:r>
            <w:r w:rsidRPr="007E23A8">
              <w:rPr>
                <w:rFonts w:cs="Traditional Arabic" w:hint="cs"/>
                <w:sz w:val="28"/>
                <w:szCs w:val="28"/>
                <w:rtl/>
              </w:rPr>
              <w:t xml:space="preserve">المعلومات عن </w:t>
            </w:r>
            <w:r w:rsidRPr="007E23A8">
              <w:rPr>
                <w:rFonts w:cs="Traditional Arabic"/>
                <w:sz w:val="28"/>
                <w:szCs w:val="28"/>
                <w:rtl/>
              </w:rPr>
              <w:t xml:space="preserve">استراتيجيات وبرامج تتعلق بمنع توليد النفايات والتقليل منها إلى الحد الأدنى وقياس التقدم المحرز؛ </w:t>
            </w:r>
            <w:r w:rsidRPr="007E23A8">
              <w:rPr>
                <w:rFonts w:cs="Traditional Arabic"/>
                <w:sz w:val="24"/>
                <w:szCs w:val="24"/>
                <w:rtl/>
              </w:rPr>
              <w:t>و</w:t>
            </w:r>
            <w:r w:rsidRPr="007E23A8">
              <w:rPr>
                <w:rFonts w:cs="Traditional Arabic" w:hint="cs"/>
                <w:sz w:val="24"/>
                <w:szCs w:val="24"/>
                <w:rtl/>
              </w:rPr>
              <w:t xml:space="preserve">عن </w:t>
            </w:r>
            <w:r w:rsidRPr="007E23A8">
              <w:rPr>
                <w:rFonts w:cs="Traditional Arabic"/>
                <w:sz w:val="24"/>
                <w:szCs w:val="24"/>
                <w:rtl/>
              </w:rPr>
              <w:t>نقل التكنولوجيا وبناء القدرات</w:t>
            </w:r>
            <w:r w:rsidRPr="007E23A8">
              <w:rPr>
                <w:rFonts w:cs="Traditional Arabic"/>
                <w:sz w:val="28"/>
                <w:szCs w:val="28"/>
                <w:vertAlign w:val="superscript"/>
                <w:rtl/>
              </w:rPr>
              <w:t>(</w:t>
            </w:r>
            <w:r w:rsidRPr="007E23A8">
              <w:rPr>
                <w:rFonts w:cs="Traditional Arabic"/>
                <w:szCs w:val="28"/>
                <w:vertAlign w:val="superscript"/>
                <w:rtl/>
              </w:rPr>
              <w:footnoteReference w:id="1"/>
            </w:r>
            <w:r w:rsidRPr="007E23A8">
              <w:rPr>
                <w:rFonts w:cs="Traditional Arabic"/>
                <w:sz w:val="28"/>
                <w:szCs w:val="28"/>
                <w:vertAlign w:val="superscript"/>
                <w:rtl/>
              </w:rPr>
              <w:t>)</w:t>
            </w:r>
          </w:p>
        </w:tc>
        <w:tc>
          <w:tcPr>
            <w:tcW w:w="1984" w:type="dxa"/>
            <w:tcBorders>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sz w:val="28"/>
                <w:szCs w:val="28"/>
                <w:rtl/>
              </w:rPr>
            </w:pPr>
            <w:r w:rsidRPr="007E23A8">
              <w:rPr>
                <w:rFonts w:cs="Traditional Arabic"/>
                <w:sz w:val="28"/>
                <w:szCs w:val="28"/>
                <w:rtl/>
              </w:rPr>
              <w:t>الأطراف، والجهات الموقعة وغيرها</w:t>
            </w:r>
          </w:p>
        </w:tc>
        <w:tc>
          <w:tcPr>
            <w:tcW w:w="2126" w:type="dxa"/>
            <w:tcBorders>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hint="cs"/>
                <w:sz w:val="28"/>
                <w:szCs w:val="28"/>
                <w:rtl/>
              </w:rPr>
            </w:pPr>
            <w:r w:rsidRPr="007E23A8">
              <w:rPr>
                <w:rFonts w:cs="Traditional Arabic" w:hint="cs"/>
                <w:sz w:val="28"/>
                <w:szCs w:val="28"/>
                <w:rtl/>
              </w:rPr>
              <w:t>إ</w:t>
            </w:r>
            <w:r w:rsidRPr="007E23A8">
              <w:rPr>
                <w:rFonts w:cs="Traditional Arabic"/>
                <w:sz w:val="28"/>
                <w:szCs w:val="28"/>
                <w:rtl/>
              </w:rPr>
              <w:t>صد</w:t>
            </w:r>
            <w:r w:rsidRPr="007E23A8">
              <w:rPr>
                <w:rFonts w:cs="Traditional Arabic" w:hint="cs"/>
                <w:sz w:val="28"/>
                <w:szCs w:val="28"/>
                <w:rtl/>
              </w:rPr>
              <w:t>ا</w:t>
            </w:r>
            <w:r w:rsidRPr="007E23A8">
              <w:rPr>
                <w:rFonts w:cs="Traditional Arabic"/>
                <w:sz w:val="28"/>
                <w:szCs w:val="28"/>
                <w:rtl/>
              </w:rPr>
              <w:t>ر طلب تقديم المعلومات في الاجتماع الثاني عشر لمؤتمر الأطراف</w:t>
            </w:r>
            <w:r w:rsidRPr="007E23A8">
              <w:rPr>
                <w:rFonts w:cs="Traditional Arabic" w:hint="cs"/>
                <w:sz w:val="28"/>
                <w:szCs w:val="28"/>
                <w:rtl/>
              </w:rPr>
              <w:t xml:space="preserve"> </w:t>
            </w:r>
            <w:r w:rsidRPr="007E23A8">
              <w:rPr>
                <w:rFonts w:cs="Traditional Arabic"/>
                <w:sz w:val="28"/>
                <w:szCs w:val="28"/>
                <w:rtl/>
              </w:rPr>
              <w:t>(مقرر) وتقدم المعلومات بشكل مستمر</w:t>
            </w:r>
          </w:p>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hint="cs"/>
                <w:sz w:val="28"/>
                <w:szCs w:val="28"/>
                <w:rtl/>
              </w:rPr>
            </w:pPr>
            <w:r w:rsidRPr="007E23A8">
              <w:rPr>
                <w:rFonts w:cs="Traditional Arabic"/>
                <w:sz w:val="28"/>
                <w:szCs w:val="28"/>
                <w:rtl/>
              </w:rPr>
              <w:t>قبل عقد الاجتماع الثالث عشر لمؤتمر الأطراف</w:t>
            </w:r>
          </w:p>
        </w:tc>
      </w:tr>
      <w:tr w:rsidR="007E23A8" w:rsidRPr="007E23A8" w:rsidTr="00A63D28">
        <w:trPr>
          <w:cantSplit/>
          <w:trHeight w:val="941"/>
        </w:trPr>
        <w:tc>
          <w:tcPr>
            <w:tcW w:w="1559" w:type="dxa"/>
            <w:tcBorders>
              <w:top w:val="nil"/>
              <w:left w:val="single" w:sz="4" w:space="0" w:color="auto"/>
              <w:bottom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cs="Traditional Arabic"/>
                <w:sz w:val="28"/>
                <w:szCs w:val="28"/>
                <w:rtl/>
              </w:rPr>
            </w:pPr>
          </w:p>
        </w:tc>
        <w:tc>
          <w:tcPr>
            <w:tcW w:w="2694" w:type="dxa"/>
            <w:tcBorders>
              <w:top w:val="nil"/>
              <w:left w:val="single" w:sz="4" w:space="0" w:color="auto"/>
              <w:bottom w:val="single" w:sz="4" w:space="0" w:color="auto"/>
              <w:right w:val="single" w:sz="4" w:space="0" w:color="auto"/>
            </w:tcBorders>
          </w:tcPr>
          <w:p w:rsidR="007E23A8" w:rsidRPr="007E23A8" w:rsidRDefault="007E23A8" w:rsidP="007E23A8">
            <w:pPr>
              <w:widowControl w:val="0"/>
              <w:numPr>
                <w:ilvl w:val="0"/>
                <w:numId w:val="13"/>
              </w:numPr>
              <w:tabs>
                <w:tab w:val="clear" w:pos="1247"/>
                <w:tab w:val="clear" w:pos="1814"/>
                <w:tab w:val="clear" w:pos="2381"/>
                <w:tab w:val="clear" w:pos="2948"/>
                <w:tab w:val="clear" w:pos="3515"/>
                <w:tab w:val="left" w:pos="459"/>
              </w:tabs>
              <w:bidi/>
              <w:spacing w:after="60" w:line="320" w:lineRule="exact"/>
              <w:ind w:left="34"/>
              <w:jc w:val="both"/>
              <w:rPr>
                <w:rFonts w:cs="Traditional Arabic"/>
                <w:sz w:val="28"/>
                <w:szCs w:val="28"/>
              </w:rPr>
            </w:pPr>
            <w:r w:rsidRPr="007E23A8">
              <w:rPr>
                <w:rFonts w:cs="Traditional Arabic"/>
                <w:sz w:val="28"/>
                <w:szCs w:val="28"/>
                <w:rtl/>
              </w:rPr>
              <w:t xml:space="preserve">تجمِّع الأمانة كل المعلومات ذات الصلة المقدمة من جانب الأطراف </w:t>
            </w:r>
            <w:r w:rsidRPr="007E23A8">
              <w:rPr>
                <w:rFonts w:cs="Traditional Arabic" w:hint="cs"/>
                <w:sz w:val="28"/>
                <w:szCs w:val="28"/>
                <w:rtl/>
              </w:rPr>
              <w:t xml:space="preserve">والجهات الموقعة وغيرها </w:t>
            </w:r>
            <w:r w:rsidRPr="007E23A8">
              <w:rPr>
                <w:rFonts w:cs="Traditional Arabic"/>
                <w:sz w:val="28"/>
                <w:szCs w:val="28"/>
                <w:rtl/>
              </w:rPr>
              <w:t>فيما يتعلق بتنفيذ إعلان كارتاخينا وتتيحها على الموقع الشبكي لاتفاقية بازل</w:t>
            </w:r>
          </w:p>
        </w:tc>
        <w:tc>
          <w:tcPr>
            <w:tcW w:w="1984" w:type="dxa"/>
            <w:tcBorders>
              <w:top w:val="nil"/>
              <w:left w:val="single" w:sz="4" w:space="0" w:color="auto"/>
              <w:bottom w:val="single" w:sz="4" w:space="0" w:color="auto"/>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jc w:val="both"/>
              <w:rPr>
                <w:rFonts w:cs="Traditional Arabic"/>
                <w:sz w:val="28"/>
                <w:szCs w:val="28"/>
              </w:rPr>
            </w:pPr>
            <w:r w:rsidRPr="007E23A8">
              <w:rPr>
                <w:rFonts w:cs="Traditional Arabic"/>
                <w:sz w:val="28"/>
                <w:szCs w:val="28"/>
                <w:rtl/>
              </w:rPr>
              <w:t>الأمانة</w:t>
            </w:r>
          </w:p>
        </w:tc>
        <w:tc>
          <w:tcPr>
            <w:tcW w:w="2126" w:type="dxa"/>
            <w:tcBorders>
              <w:top w:val="nil"/>
              <w:left w:val="single" w:sz="4" w:space="0" w:color="auto"/>
              <w:bottom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jc w:val="both"/>
              <w:rPr>
                <w:rFonts w:cs="Traditional Arabic"/>
                <w:sz w:val="28"/>
                <w:szCs w:val="28"/>
                <w:rtl/>
              </w:rPr>
            </w:pPr>
            <w:r w:rsidRPr="007E23A8">
              <w:rPr>
                <w:rFonts w:cs="Traditional Arabic"/>
                <w:sz w:val="28"/>
                <w:szCs w:val="28"/>
                <w:rtl/>
              </w:rPr>
              <w:t>قبل عقد الاجتماع الثالث عشر لمؤتمر الأطراف</w:t>
            </w:r>
          </w:p>
        </w:tc>
      </w:tr>
      <w:tr w:rsidR="007E23A8" w:rsidRPr="007E23A8" w:rsidTr="00A63D28">
        <w:trPr>
          <w:cantSplit/>
          <w:trHeight w:val="1114"/>
        </w:trPr>
        <w:tc>
          <w:tcPr>
            <w:tcW w:w="1559" w:type="dxa"/>
            <w:tcBorders>
              <w:top w:val="single" w:sz="4" w:space="0" w:color="auto"/>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rPr>
                <w:rFonts w:cs="Traditional Arabic"/>
                <w:sz w:val="28"/>
                <w:szCs w:val="28"/>
              </w:rPr>
            </w:pPr>
            <w:r w:rsidRPr="007E23A8">
              <w:rPr>
                <w:rFonts w:cs="Traditional Arabic"/>
                <w:sz w:val="28"/>
                <w:szCs w:val="28"/>
                <w:rtl/>
              </w:rPr>
              <w:t>وضع استراتيجيات (الفقرة 1 من إعلان كارتاخينا)</w:t>
            </w:r>
          </w:p>
        </w:tc>
        <w:tc>
          <w:tcPr>
            <w:tcW w:w="2694" w:type="dxa"/>
            <w:tcBorders>
              <w:top w:val="single" w:sz="4" w:space="0" w:color="auto"/>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eastAsia="Batang" w:cs="Traditional Arabic"/>
                <w:sz w:val="28"/>
                <w:szCs w:val="28"/>
                <w:lang w:eastAsia="ko-KR"/>
              </w:rPr>
            </w:pPr>
            <w:r w:rsidRPr="007E23A8">
              <w:rPr>
                <w:rFonts w:eastAsia="Batang" w:cs="Traditional Arabic"/>
                <w:sz w:val="28"/>
                <w:szCs w:val="28"/>
                <w:rtl/>
                <w:lang w:eastAsia="ko-KR"/>
              </w:rPr>
              <w:t>وضع توجيهات لمساعدة الأطراف، حسب الاقتضاء، في وضع استراتيجيات أكثر كفاءةً لمنع توليد النفايات الخطرة والنفايات الأخرى والتقليل من توليدها إلى الحد الأدنى والتخلص منها، مع الأخذ في الاعتبار دليل منع توليد النفايات الذي وضعه فريق الخبراء العامل المعني بالإدارة السليمة بيئياً</w:t>
            </w:r>
          </w:p>
        </w:tc>
        <w:tc>
          <w:tcPr>
            <w:tcW w:w="1984" w:type="dxa"/>
            <w:tcBorders>
              <w:top w:val="single" w:sz="4" w:space="0" w:color="auto"/>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sz w:val="28"/>
                <w:szCs w:val="28"/>
              </w:rPr>
            </w:pPr>
            <w:r w:rsidRPr="007E23A8">
              <w:rPr>
                <w:rFonts w:cs="Traditional Arabic"/>
                <w:sz w:val="28"/>
                <w:szCs w:val="28"/>
                <w:rtl/>
              </w:rPr>
              <w:t>الأطراف وفريق الخبراء العامل المعني بالإدارة السليمة بيئياً/الفريق العامل فيما بين الدورات</w:t>
            </w:r>
          </w:p>
        </w:tc>
        <w:tc>
          <w:tcPr>
            <w:tcW w:w="2126" w:type="dxa"/>
            <w:tcBorders>
              <w:top w:val="single" w:sz="4" w:space="0" w:color="auto"/>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s>
              <w:bidi/>
              <w:spacing w:after="60" w:line="320" w:lineRule="exact"/>
              <w:jc w:val="both"/>
              <w:rPr>
                <w:rFonts w:cs="Traditional Arabic"/>
                <w:sz w:val="28"/>
                <w:szCs w:val="28"/>
              </w:rPr>
            </w:pPr>
            <w:r w:rsidRPr="007E23A8">
              <w:rPr>
                <w:rFonts w:cs="Traditional Arabic"/>
                <w:sz w:val="28"/>
                <w:szCs w:val="28"/>
                <w:rtl/>
              </w:rPr>
              <w:t>الاجتماع الثالث عشر لمؤتمر الأطراف</w:t>
            </w:r>
          </w:p>
        </w:tc>
      </w:tr>
      <w:tr w:rsidR="007E23A8" w:rsidRPr="007E23A8" w:rsidTr="00A63D28">
        <w:trPr>
          <w:cantSplit/>
          <w:trHeight w:val="965"/>
        </w:trPr>
        <w:tc>
          <w:tcPr>
            <w:tcW w:w="1559"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cs="Traditional Arabic"/>
                <w:sz w:val="28"/>
                <w:szCs w:val="28"/>
                <w:rtl/>
              </w:rPr>
            </w:pPr>
            <w:r w:rsidRPr="007E23A8">
              <w:rPr>
                <w:rFonts w:cs="Traditional Arabic"/>
                <w:sz w:val="28"/>
                <w:szCs w:val="28"/>
                <w:rtl/>
              </w:rPr>
              <w:t>تعزيز منع توليد النفايات (الفقرات 5 و7 و8 و12 و13 من إعلان كارتاخينا)</w:t>
            </w:r>
          </w:p>
        </w:tc>
        <w:tc>
          <w:tcPr>
            <w:tcW w:w="269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 w:val="left" w:pos="459"/>
              </w:tabs>
              <w:bidi/>
              <w:spacing w:after="60" w:line="320" w:lineRule="exact"/>
              <w:ind w:left="34"/>
              <w:jc w:val="both"/>
              <w:rPr>
                <w:rFonts w:cs="Traditional Arabic" w:hint="cs"/>
                <w:sz w:val="28"/>
                <w:szCs w:val="28"/>
                <w:rtl/>
              </w:rPr>
            </w:pPr>
            <w:r w:rsidRPr="007E23A8">
              <w:rPr>
                <w:rFonts w:cs="Traditional Arabic"/>
                <w:sz w:val="28"/>
                <w:szCs w:val="28"/>
                <w:rtl/>
              </w:rPr>
              <w:t>تشجيع:</w:t>
            </w:r>
          </w:p>
          <w:p w:rsidR="007E23A8" w:rsidRPr="007E23A8" w:rsidRDefault="007E23A8" w:rsidP="007E23A8">
            <w:pPr>
              <w:widowControl w:val="0"/>
              <w:tabs>
                <w:tab w:val="clear" w:pos="1247"/>
                <w:tab w:val="clear" w:pos="1814"/>
                <w:tab w:val="clear" w:pos="2381"/>
                <w:tab w:val="clear" w:pos="2948"/>
                <w:tab w:val="clear" w:pos="3515"/>
                <w:tab w:val="left" w:pos="317"/>
              </w:tabs>
              <w:bidi/>
              <w:spacing w:after="60" w:line="320" w:lineRule="exact"/>
              <w:ind w:left="33"/>
              <w:jc w:val="both"/>
              <w:rPr>
                <w:rFonts w:cs="Traditional Arabic"/>
                <w:sz w:val="28"/>
                <w:szCs w:val="28"/>
                <w:rtl/>
              </w:rPr>
            </w:pPr>
            <w:r w:rsidRPr="007E23A8">
              <w:rPr>
                <w:rFonts w:cs="Traditional Arabic" w:hint="cs"/>
                <w:sz w:val="28"/>
                <w:szCs w:val="28"/>
                <w:rtl/>
              </w:rPr>
              <w:t>-</w:t>
            </w:r>
            <w:r w:rsidRPr="007E23A8">
              <w:rPr>
                <w:rFonts w:cs="Traditional Arabic" w:hint="cs"/>
                <w:sz w:val="28"/>
                <w:szCs w:val="28"/>
                <w:rtl/>
              </w:rPr>
              <w:tab/>
            </w:r>
            <w:r w:rsidRPr="007E23A8">
              <w:rPr>
                <w:rFonts w:cs="Traditional Arabic"/>
                <w:sz w:val="28"/>
                <w:szCs w:val="28"/>
                <w:rtl/>
              </w:rPr>
              <w:t>تطوير مشاريع تجريبية تآزرية على الصعيدين الوطني والإقليمي لمنع توليد النفايات لمسارات نفايات محددة ذات أهمية</w:t>
            </w:r>
          </w:p>
        </w:tc>
        <w:tc>
          <w:tcPr>
            <w:tcW w:w="198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sz w:val="28"/>
                <w:szCs w:val="28"/>
                <w:rtl/>
              </w:rPr>
            </w:pPr>
            <w:r w:rsidRPr="007E23A8">
              <w:rPr>
                <w:rFonts w:cs="Traditional Arabic"/>
                <w:sz w:val="28"/>
                <w:szCs w:val="28"/>
                <w:rtl/>
              </w:rPr>
              <w:t>الأطراف، المراكز التنسيقية والإقليمية لاتفاقية بازل، والمراكز الإقليمية ودون الإقليمية لاتفاقية استكهولم،</w:t>
            </w:r>
          </w:p>
        </w:tc>
        <w:tc>
          <w:tcPr>
            <w:tcW w:w="2126"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s>
              <w:bidi/>
              <w:spacing w:after="60" w:line="320" w:lineRule="exact"/>
              <w:jc w:val="both"/>
              <w:rPr>
                <w:rFonts w:cs="Traditional Arabic"/>
                <w:sz w:val="28"/>
                <w:szCs w:val="28"/>
                <w:rtl/>
              </w:rPr>
            </w:pPr>
            <w:r w:rsidRPr="007E23A8">
              <w:rPr>
                <w:rFonts w:cs="Traditional Arabic"/>
                <w:sz w:val="28"/>
                <w:szCs w:val="28"/>
                <w:rtl/>
              </w:rPr>
              <w:t>مستمر</w:t>
            </w:r>
          </w:p>
        </w:tc>
      </w:tr>
      <w:tr w:rsidR="007E23A8" w:rsidRPr="007E23A8" w:rsidTr="00A63D28">
        <w:trPr>
          <w:cantSplit/>
          <w:trHeight w:val="965"/>
        </w:trPr>
        <w:tc>
          <w:tcPr>
            <w:tcW w:w="1559"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ind w:left="33"/>
              <w:jc w:val="both"/>
              <w:rPr>
                <w:rFonts w:cs="Traditional Arabic"/>
                <w:sz w:val="28"/>
                <w:szCs w:val="28"/>
              </w:rPr>
            </w:pPr>
          </w:p>
        </w:tc>
        <w:tc>
          <w:tcPr>
            <w:tcW w:w="269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 w:val="left" w:pos="317"/>
              </w:tabs>
              <w:bidi/>
              <w:spacing w:after="60" w:line="320" w:lineRule="exact"/>
              <w:ind w:left="34"/>
              <w:jc w:val="both"/>
              <w:rPr>
                <w:rFonts w:cs="Traditional Arabic" w:hint="cs"/>
                <w:sz w:val="28"/>
                <w:szCs w:val="28"/>
                <w:rtl/>
              </w:rPr>
            </w:pPr>
            <w:r w:rsidRPr="007E23A8">
              <w:rPr>
                <w:rFonts w:cs="Traditional Arabic" w:hint="cs"/>
                <w:sz w:val="28"/>
                <w:szCs w:val="28"/>
                <w:rtl/>
              </w:rPr>
              <w:t>-</w:t>
            </w:r>
            <w:r w:rsidRPr="007E23A8">
              <w:rPr>
                <w:rFonts w:cs="Traditional Arabic" w:hint="cs"/>
                <w:sz w:val="28"/>
                <w:szCs w:val="28"/>
                <w:rtl/>
              </w:rPr>
              <w:tab/>
            </w:r>
            <w:r w:rsidRPr="007E23A8">
              <w:rPr>
                <w:rFonts w:cs="Traditional Arabic"/>
                <w:sz w:val="28"/>
                <w:szCs w:val="28"/>
                <w:rtl/>
              </w:rPr>
              <w:t>تعزيز الوصول إلى وسائل إنتاج أنظف وإلى معلومات عن بدائل أقل خطورةً للمواد الكيميائية والمواد الأخرى الخطرة ومواد بديلة لهذه المواد</w:t>
            </w:r>
          </w:p>
        </w:tc>
        <w:tc>
          <w:tcPr>
            <w:tcW w:w="198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rPr>
                <w:rFonts w:cs="Traditional Arabic"/>
                <w:sz w:val="28"/>
                <w:szCs w:val="28"/>
                <w:rtl/>
              </w:rPr>
            </w:pPr>
            <w:r w:rsidRPr="007E23A8">
              <w:rPr>
                <w:rFonts w:cs="Traditional Arabic" w:hint="cs"/>
                <w:sz w:val="28"/>
                <w:szCs w:val="28"/>
                <w:rtl/>
              </w:rPr>
              <w:t>منظمة الأمم المتحدة للتنمية الصناعية</w:t>
            </w:r>
            <w:r w:rsidRPr="007E23A8">
              <w:rPr>
                <w:rFonts w:cs="Traditional Arabic"/>
                <w:sz w:val="28"/>
                <w:szCs w:val="28"/>
                <w:rtl/>
              </w:rPr>
              <w:t>، مرفق البيئة العالمية، مراكز الإنتاج الأنظف والقطاع الخاص</w:t>
            </w:r>
          </w:p>
        </w:tc>
        <w:tc>
          <w:tcPr>
            <w:tcW w:w="2126"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60" w:line="320" w:lineRule="exact"/>
              <w:jc w:val="both"/>
              <w:rPr>
                <w:rFonts w:cs="Traditional Arabic"/>
                <w:sz w:val="28"/>
                <w:szCs w:val="28"/>
              </w:rPr>
            </w:pPr>
          </w:p>
        </w:tc>
      </w:tr>
      <w:tr w:rsidR="007E23A8" w:rsidRPr="007E23A8" w:rsidTr="00A63D28">
        <w:trPr>
          <w:cantSplit/>
          <w:trHeight w:val="965"/>
        </w:trPr>
        <w:tc>
          <w:tcPr>
            <w:tcW w:w="1559"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ind w:left="33"/>
              <w:jc w:val="both"/>
              <w:rPr>
                <w:rFonts w:cs="Traditional Arabic"/>
                <w:sz w:val="28"/>
                <w:szCs w:val="28"/>
              </w:rPr>
            </w:pPr>
          </w:p>
        </w:tc>
        <w:tc>
          <w:tcPr>
            <w:tcW w:w="269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ind w:left="33"/>
              <w:jc w:val="both"/>
              <w:rPr>
                <w:rFonts w:eastAsia="Batang" w:cs="Traditional Arabic"/>
                <w:sz w:val="28"/>
                <w:szCs w:val="28"/>
                <w:lang w:eastAsia="ko-KR"/>
              </w:rPr>
            </w:pPr>
            <w:r w:rsidRPr="007E23A8">
              <w:rPr>
                <w:rFonts w:eastAsia="Batang" w:cs="Traditional Arabic" w:hint="cs"/>
                <w:sz w:val="28"/>
                <w:szCs w:val="28"/>
                <w:rtl/>
                <w:lang w:eastAsia="ko-KR"/>
              </w:rPr>
              <w:t xml:space="preserve">- </w:t>
            </w:r>
            <w:r w:rsidRPr="007E23A8">
              <w:rPr>
                <w:rFonts w:eastAsia="Batang" w:cs="Traditional Arabic"/>
                <w:sz w:val="28"/>
                <w:szCs w:val="28"/>
                <w:rtl/>
                <w:lang w:eastAsia="ko-KR"/>
              </w:rPr>
              <w:t>تنفيذ حملات توعية في مجال منع توليد النفايات تشتمل على معلومات عن تقنيات منع توليد النفايات</w:t>
            </w:r>
          </w:p>
        </w:tc>
        <w:tc>
          <w:tcPr>
            <w:tcW w:w="1984" w:type="dxa"/>
            <w:tcBorders>
              <w:top w:val="nil"/>
              <w:left w:val="single" w:sz="4" w:space="0" w:color="auto"/>
              <w:bottom w:val="nil"/>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rPr>
                <w:rFonts w:cs="Traditional Arabic"/>
                <w:sz w:val="28"/>
                <w:szCs w:val="28"/>
              </w:rPr>
            </w:pPr>
            <w:r w:rsidRPr="007E23A8">
              <w:rPr>
                <w:rFonts w:cs="Traditional Arabic"/>
                <w:sz w:val="28"/>
                <w:szCs w:val="28"/>
                <w:rtl/>
              </w:rPr>
              <w:t>الأطراف، المراكز التنسيقية والإقليمية لاتفاقية بازل، والمراكز الإقليمية ودون الإقليمية لاتفاقية استكهولم، والمنظمات غير الحكومية</w:t>
            </w:r>
          </w:p>
        </w:tc>
        <w:tc>
          <w:tcPr>
            <w:tcW w:w="2126" w:type="dxa"/>
            <w:tcBorders>
              <w:top w:val="nil"/>
              <w:left w:val="single" w:sz="4" w:space="0" w:color="auto"/>
              <w:bottom w:val="nil"/>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jc w:val="both"/>
              <w:rPr>
                <w:rFonts w:cs="Traditional Arabic"/>
                <w:sz w:val="28"/>
                <w:szCs w:val="28"/>
              </w:rPr>
            </w:pPr>
          </w:p>
        </w:tc>
      </w:tr>
      <w:tr w:rsidR="007E23A8" w:rsidRPr="007E23A8" w:rsidTr="00A63D28">
        <w:trPr>
          <w:cantSplit/>
          <w:trHeight w:val="1119"/>
        </w:trPr>
        <w:tc>
          <w:tcPr>
            <w:tcW w:w="1559" w:type="dxa"/>
            <w:tcBorders>
              <w:top w:val="nil"/>
              <w:left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ind w:left="33"/>
              <w:rPr>
                <w:rFonts w:cs="Traditional Arabic"/>
                <w:sz w:val="28"/>
                <w:szCs w:val="28"/>
              </w:rPr>
            </w:pPr>
            <w:r w:rsidRPr="007E23A8">
              <w:rPr>
                <w:rFonts w:cs="Traditional Arabic"/>
                <w:sz w:val="28"/>
                <w:szCs w:val="28"/>
                <w:rtl/>
              </w:rPr>
              <w:lastRenderedPageBreak/>
              <w:t>المشاركة مع أصحاب المصلحة ذوي الصلة (الفقرة 11 من إعلان كارتاخينا)</w:t>
            </w:r>
          </w:p>
        </w:tc>
        <w:tc>
          <w:tcPr>
            <w:tcW w:w="2694" w:type="dxa"/>
            <w:tcBorders>
              <w:top w:val="nil"/>
              <w:left w:val="single" w:sz="4" w:space="0" w:color="auto"/>
              <w:bottom w:val="single" w:sz="4" w:space="0" w:color="auto"/>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ind w:left="33"/>
              <w:jc w:val="both"/>
              <w:rPr>
                <w:rFonts w:eastAsia="Batang" w:cs="Traditional Arabic"/>
                <w:sz w:val="28"/>
                <w:szCs w:val="28"/>
                <w:lang w:eastAsia="ko-KR"/>
              </w:rPr>
            </w:pPr>
            <w:r w:rsidRPr="007E23A8">
              <w:rPr>
                <w:rFonts w:eastAsia="Batang" w:cs="Traditional Arabic"/>
                <w:sz w:val="28"/>
                <w:szCs w:val="28"/>
                <w:rtl/>
                <w:lang w:eastAsia="ko-KR"/>
              </w:rPr>
              <w:t xml:space="preserve">تشجيع وتيسير المشاركة مع الهيئات الأخرى والمنظمات غير الحكومية ومراكز الإنتاج الأنظف والقطاع الخاص لدفع العمل على صعيد منع توليد النفايات الخطرة والنفايات الأخرى والتقليل منها إلى الحد الأدنى واستعادتها، حسب الاقتضاء، وتطوير وتنفيذ مشاريع وبرامج وشراكات لمنع توليد النفايات بهدف تحقيق تلك الغاية، مع الأخذ في الاعتبار المعلومات المجمعة من </w:t>
            </w:r>
            <w:r w:rsidRPr="007E23A8">
              <w:rPr>
                <w:rFonts w:eastAsia="Batang" w:cs="Traditional Arabic" w:hint="cs"/>
                <w:sz w:val="28"/>
                <w:szCs w:val="28"/>
                <w:rtl/>
                <w:lang w:eastAsia="ko-KR"/>
              </w:rPr>
              <w:t xml:space="preserve">خلال </w:t>
            </w:r>
            <w:r w:rsidRPr="007E23A8">
              <w:rPr>
                <w:rFonts w:eastAsia="Batang" w:cs="Traditional Arabic"/>
                <w:sz w:val="28"/>
                <w:szCs w:val="28"/>
                <w:rtl/>
                <w:lang w:eastAsia="ko-KR"/>
              </w:rPr>
              <w:t>نشاط تجميع المعلومات</w:t>
            </w:r>
          </w:p>
        </w:tc>
        <w:tc>
          <w:tcPr>
            <w:tcW w:w="1984" w:type="dxa"/>
            <w:tcBorders>
              <w:top w:val="nil"/>
              <w:left w:val="single" w:sz="4" w:space="0" w:color="auto"/>
              <w:right w:val="single" w:sz="4" w:space="0" w:color="auto"/>
            </w:tcBorders>
          </w:tcPr>
          <w:p w:rsidR="007E23A8" w:rsidRPr="007E23A8" w:rsidRDefault="007E23A8" w:rsidP="007E23A8">
            <w:pPr>
              <w:widowControl w:val="0"/>
              <w:tabs>
                <w:tab w:val="clear" w:pos="1247"/>
                <w:tab w:val="clear" w:pos="1814"/>
                <w:tab w:val="clear" w:pos="2381"/>
                <w:tab w:val="clear" w:pos="2948"/>
                <w:tab w:val="clear" w:pos="3515"/>
              </w:tabs>
              <w:bidi/>
              <w:spacing w:after="120" w:line="320" w:lineRule="exact"/>
              <w:rPr>
                <w:rFonts w:cs="Traditional Arabic"/>
                <w:sz w:val="28"/>
                <w:szCs w:val="28"/>
              </w:rPr>
            </w:pPr>
            <w:r w:rsidRPr="007E23A8">
              <w:rPr>
                <w:rFonts w:cs="Traditional Arabic"/>
                <w:sz w:val="28"/>
                <w:szCs w:val="28"/>
                <w:rtl/>
              </w:rPr>
              <w:t>الأطراف، والمراكز التنسيقية والإقليمية لاتفاقية بازل، والمراكز الإقليمية ودون الإقليمية لاتفاقية استكهولم</w:t>
            </w:r>
          </w:p>
        </w:tc>
        <w:tc>
          <w:tcPr>
            <w:tcW w:w="2126" w:type="dxa"/>
            <w:tcBorders>
              <w:top w:val="nil"/>
              <w:left w:val="single" w:sz="4" w:space="0" w:color="auto"/>
              <w:right w:val="single" w:sz="4" w:space="0" w:color="auto"/>
            </w:tcBorders>
            <w:shd w:val="clear" w:color="auto" w:fill="auto"/>
          </w:tcPr>
          <w:p w:rsidR="007E23A8" w:rsidRPr="007E23A8" w:rsidRDefault="007E23A8" w:rsidP="007E23A8">
            <w:pPr>
              <w:widowControl w:val="0"/>
              <w:tabs>
                <w:tab w:val="clear" w:pos="1247"/>
                <w:tab w:val="clear" w:pos="1814"/>
              </w:tabs>
              <w:bidi/>
              <w:spacing w:after="120" w:line="320" w:lineRule="exact"/>
              <w:jc w:val="both"/>
              <w:rPr>
                <w:rFonts w:cs="Traditional Arabic"/>
                <w:sz w:val="28"/>
                <w:szCs w:val="28"/>
              </w:rPr>
            </w:pPr>
            <w:r w:rsidRPr="007E23A8">
              <w:rPr>
                <w:rFonts w:cs="Traditional Arabic"/>
                <w:sz w:val="28"/>
                <w:szCs w:val="28"/>
                <w:rtl/>
              </w:rPr>
              <w:t>مستمر</w:t>
            </w:r>
          </w:p>
        </w:tc>
      </w:tr>
    </w:tbl>
    <w:p w:rsidR="000B25F8" w:rsidRPr="007E23A8" w:rsidRDefault="000B25F8" w:rsidP="007E23A8"/>
    <w:sectPr w:rsidR="000B25F8" w:rsidRPr="007E23A8"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7E23A8" w:rsidRPr="00741CA2" w:rsidRDefault="007E23A8" w:rsidP="007E23A8">
      <w:pPr>
        <w:pStyle w:val="FootnoteText"/>
        <w:spacing w:line="300" w:lineRule="exact"/>
        <w:ind w:left="1134"/>
        <w:jc w:val="both"/>
        <w:rPr>
          <w:rFonts w:ascii="Traditional Arabic" w:hAnsi="Traditional Arabic" w:cs="Traditional Arabic"/>
          <w:sz w:val="26"/>
          <w:szCs w:val="26"/>
          <w:rtl/>
        </w:rPr>
      </w:pPr>
      <w:r w:rsidRPr="00741CA2">
        <w:rPr>
          <w:rFonts w:ascii="Traditional Arabic" w:hAnsi="Traditional Arabic" w:cs="Traditional Arabic" w:hint="cs"/>
          <w:sz w:val="26"/>
          <w:szCs w:val="26"/>
          <w:rtl/>
        </w:rPr>
        <w:t>(</w:t>
      </w:r>
      <w:r w:rsidRPr="00741CA2">
        <w:rPr>
          <w:rFonts w:ascii="Traditional Arabic" w:hAnsi="Traditional Arabic" w:cs="Traditional Arabic"/>
          <w:sz w:val="26"/>
          <w:szCs w:val="26"/>
        </w:rPr>
        <w:t>(</w:t>
      </w:r>
      <w:r w:rsidRPr="00741CA2">
        <w:rPr>
          <w:rStyle w:val="FootnoteReference"/>
          <w:rFonts w:ascii="Traditional Arabic" w:hAnsi="Traditional Arabic" w:cs="Traditional Arabic"/>
          <w:sz w:val="26"/>
          <w:szCs w:val="26"/>
        </w:rPr>
        <w:footnoteRef/>
      </w:r>
      <w:r w:rsidRPr="00741CA2">
        <w:rPr>
          <w:rFonts w:ascii="Traditional Arabic" w:hAnsi="Traditional Arabic" w:cs="Traditional Arabic"/>
          <w:sz w:val="26"/>
          <w:szCs w:val="26"/>
          <w:rtl/>
        </w:rPr>
        <w:t xml:space="preserve"> </w:t>
      </w:r>
      <w:r w:rsidRPr="00741CA2">
        <w:rPr>
          <w:rFonts w:ascii="Traditional Arabic" w:hAnsi="Traditional Arabic" w:cs="Traditional Arabic" w:hint="cs"/>
          <w:sz w:val="26"/>
          <w:szCs w:val="26"/>
          <w:rtl/>
        </w:rPr>
        <w:t xml:space="preserve">انظر الفقرات 1 و4 و5 و7 و11 </w:t>
      </w:r>
      <w:r>
        <w:rPr>
          <w:rFonts w:ascii="Traditional Arabic" w:hAnsi="Traditional Arabic" w:cs="Traditional Arabic" w:hint="cs"/>
          <w:sz w:val="26"/>
          <w:szCs w:val="26"/>
          <w:rtl/>
        </w:rPr>
        <w:t xml:space="preserve">و12 </w:t>
      </w:r>
      <w:r w:rsidRPr="00741CA2">
        <w:rPr>
          <w:rFonts w:ascii="Traditional Arabic" w:hAnsi="Traditional Arabic" w:cs="Traditional Arabic" w:hint="cs"/>
          <w:sz w:val="26"/>
          <w:szCs w:val="26"/>
          <w:rtl/>
        </w:rPr>
        <w:t>من إعلان كارتاخينا.</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718B6"/>
    <w:rsid w:val="000B25F8"/>
    <w:rsid w:val="001B53BC"/>
    <w:rsid w:val="00281887"/>
    <w:rsid w:val="00327412"/>
    <w:rsid w:val="0035083F"/>
    <w:rsid w:val="003616FC"/>
    <w:rsid w:val="00430E46"/>
    <w:rsid w:val="004F51EC"/>
    <w:rsid w:val="00523046"/>
    <w:rsid w:val="00593817"/>
    <w:rsid w:val="0060272A"/>
    <w:rsid w:val="006343E0"/>
    <w:rsid w:val="0064070F"/>
    <w:rsid w:val="006A4EEB"/>
    <w:rsid w:val="006D5129"/>
    <w:rsid w:val="0075644B"/>
    <w:rsid w:val="007E23A8"/>
    <w:rsid w:val="00827715"/>
    <w:rsid w:val="0094329B"/>
    <w:rsid w:val="00951E19"/>
    <w:rsid w:val="009A65C1"/>
    <w:rsid w:val="009F6B9A"/>
    <w:rsid w:val="00A16B8F"/>
    <w:rsid w:val="00A27FB7"/>
    <w:rsid w:val="00A53776"/>
    <w:rsid w:val="00BB1008"/>
    <w:rsid w:val="00BF57B2"/>
    <w:rsid w:val="00C91F17"/>
    <w:rsid w:val="00D07BEE"/>
    <w:rsid w:val="00E3382D"/>
    <w:rsid w:val="00F547EB"/>
    <w:rsid w:val="00FB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601</Words>
  <Characters>3318</Characters>
  <Application>Microsoft Office Word</Application>
  <DocSecurity>0</DocSecurity>
  <Lines>55</Lines>
  <Paragraphs>35</Paragraphs>
  <ScaleCrop>false</ScaleCrop>
  <Company>BRS</Company>
  <LinksUpToDate>false</LinksUpToDate>
  <CharactersWithSpaces>3884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2015-09-04T14:49:00Z</dcterms:created>
  <dcterms:modified xsi:type="dcterms:W3CDTF">2015-09-04T14:49:00Z</dcterms:modified>
</cp:coreProperties>
</file>