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259" w:rsidRPr="00877259" w:rsidRDefault="002F1F77" w:rsidP="002F1F77">
      <w:pPr>
        <w:tabs>
          <w:tab w:val="clear" w:pos="1247"/>
          <w:tab w:val="clear" w:pos="1814"/>
          <w:tab w:val="clear" w:pos="2381"/>
          <w:tab w:val="clear" w:pos="2948"/>
          <w:tab w:val="clear" w:pos="3515"/>
          <w:tab w:val="left" w:pos="624"/>
        </w:tabs>
        <w:spacing w:after="120"/>
        <w:ind w:left="1247" w:firstLine="13"/>
        <w:rPr>
          <w:rFonts w:eastAsia="SimSun"/>
          <w:i/>
          <w:sz w:val="24"/>
          <w:szCs w:val="24"/>
          <w:lang w:val="en-US" w:eastAsia="zh-CN"/>
        </w:rPr>
      </w:pPr>
      <w:r w:rsidRPr="006F1B23">
        <w:rPr>
          <w:rFonts w:eastAsia="SimHei"/>
          <w:b/>
          <w:sz w:val="28"/>
          <w:szCs w:val="28"/>
          <w:lang w:eastAsia="zh-CN"/>
        </w:rPr>
        <w:t>OEWG-9/1</w:t>
      </w:r>
      <w:r w:rsidRPr="006F1B23">
        <w:rPr>
          <w:rFonts w:eastAsia="SimHei"/>
          <w:b/>
          <w:sz w:val="28"/>
          <w:szCs w:val="28"/>
          <w:lang w:eastAsia="zh-CN"/>
        </w:rPr>
        <w:t>：</w:t>
      </w:r>
      <w:r w:rsidRPr="006F1B23">
        <w:rPr>
          <w:rFonts w:eastAsia="SimHei"/>
          <w:b/>
          <w:sz w:val="28"/>
          <w:szCs w:val="28"/>
          <w:lang w:val="en-US" w:eastAsia="zh-CN"/>
        </w:rPr>
        <w:t>《关于防止、尽量减少和回收危险废物及其他废物的卡塔赫纳宣言》的后续行动</w:t>
      </w:r>
      <w:r w:rsidR="00877259" w:rsidRPr="00877259">
        <w:rPr>
          <w:rFonts w:eastAsia="SimSun"/>
          <w:i/>
          <w:sz w:val="24"/>
          <w:szCs w:val="24"/>
          <w:lang w:val="en-US" w:eastAsia="zh-CN"/>
        </w:rPr>
        <w:t>不限成员名额工作组</w:t>
      </w:r>
    </w:p>
    <w:p w:rsidR="00877259" w:rsidRPr="00877259" w:rsidRDefault="00877259" w:rsidP="002F1F77">
      <w:pPr>
        <w:tabs>
          <w:tab w:val="clear" w:pos="1247"/>
          <w:tab w:val="clear" w:pos="1814"/>
          <w:tab w:val="clear" w:pos="2381"/>
          <w:tab w:val="clear" w:pos="2948"/>
          <w:tab w:val="clear" w:pos="3515"/>
          <w:tab w:val="left" w:pos="624"/>
        </w:tabs>
        <w:spacing w:after="120"/>
        <w:ind w:left="1247" w:firstLine="624"/>
        <w:rPr>
          <w:rFonts w:eastAsia="SimSun"/>
          <w:sz w:val="24"/>
          <w:szCs w:val="24"/>
          <w:lang w:eastAsia="zh-CN"/>
        </w:rPr>
      </w:pPr>
      <w:r w:rsidRPr="00877259">
        <w:rPr>
          <w:rFonts w:eastAsia="SimSun"/>
          <w:sz w:val="24"/>
          <w:szCs w:val="24"/>
          <w:lang w:eastAsia="zh-CN"/>
        </w:rPr>
        <w:t>1.</w:t>
      </w:r>
      <w:r w:rsidRPr="00877259">
        <w:rPr>
          <w:rFonts w:eastAsia="SimSun"/>
          <w:i/>
          <w:sz w:val="24"/>
          <w:szCs w:val="24"/>
          <w:lang w:eastAsia="zh-CN"/>
        </w:rPr>
        <w:tab/>
      </w:r>
      <w:proofErr w:type="gramStart"/>
      <w:r w:rsidRPr="00877259">
        <w:rPr>
          <w:rFonts w:eastAsia="SimSun" w:hint="eastAsia"/>
          <w:i/>
          <w:sz w:val="24"/>
          <w:szCs w:val="24"/>
          <w:lang w:eastAsia="zh-CN"/>
        </w:rPr>
        <w:t>注意到</w:t>
      </w:r>
      <w:r w:rsidRPr="00877259">
        <w:rPr>
          <w:rFonts w:eastAsia="SimSun" w:hint="eastAsia"/>
          <w:sz w:val="24"/>
          <w:szCs w:val="24"/>
          <w:lang w:eastAsia="zh-CN"/>
        </w:rPr>
        <w:t xml:space="preserve">  </w:t>
      </w:r>
      <w:r w:rsidRPr="00877259">
        <w:rPr>
          <w:rFonts w:eastAsia="SimSun" w:hint="eastAsia"/>
          <w:sz w:val="24"/>
          <w:szCs w:val="24"/>
          <w:lang w:eastAsia="zh-CN"/>
        </w:rPr>
        <w:t>缔约方大会第十一次会议提出的请求</w:t>
      </w:r>
      <w:proofErr w:type="gramEnd"/>
      <w:r w:rsidRPr="00877259">
        <w:rPr>
          <w:rFonts w:eastAsia="SimSun" w:hint="eastAsia"/>
          <w:sz w:val="24"/>
          <w:szCs w:val="24"/>
          <w:lang w:eastAsia="zh-CN"/>
        </w:rPr>
        <w:t>，即请工作组制定一份行动路线图并审查缔约方在执行《关于防止、尽量减少和回收危险废物及其他废物的卡塔赫纳宣言》方面取得的进展；</w:t>
      </w:r>
    </w:p>
    <w:p w:rsidR="00877259" w:rsidRPr="00877259" w:rsidRDefault="00877259" w:rsidP="002F1F77">
      <w:pPr>
        <w:tabs>
          <w:tab w:val="clear" w:pos="1247"/>
          <w:tab w:val="clear" w:pos="1814"/>
          <w:tab w:val="clear" w:pos="2381"/>
          <w:tab w:val="clear" w:pos="2948"/>
          <w:tab w:val="clear" w:pos="3515"/>
          <w:tab w:val="left" w:pos="624"/>
        </w:tabs>
        <w:spacing w:after="120"/>
        <w:ind w:left="1247" w:firstLine="624"/>
        <w:rPr>
          <w:rFonts w:eastAsia="SimSun"/>
          <w:color w:val="000000"/>
          <w:sz w:val="24"/>
          <w:szCs w:val="24"/>
          <w:lang w:eastAsia="zh-CN"/>
        </w:rPr>
      </w:pPr>
      <w:r w:rsidRPr="00877259">
        <w:rPr>
          <w:rFonts w:eastAsia="SimSun"/>
          <w:color w:val="000000"/>
          <w:sz w:val="24"/>
          <w:szCs w:val="24"/>
          <w:lang w:eastAsia="zh-CN"/>
        </w:rPr>
        <w:t>2.</w:t>
      </w:r>
      <w:r w:rsidRPr="00877259">
        <w:rPr>
          <w:rFonts w:eastAsia="SimSun"/>
          <w:color w:val="000000"/>
          <w:sz w:val="24"/>
          <w:szCs w:val="24"/>
          <w:lang w:eastAsia="zh-CN"/>
        </w:rPr>
        <w:tab/>
      </w:r>
      <w:proofErr w:type="gramStart"/>
      <w:r w:rsidRPr="00877259">
        <w:rPr>
          <w:rFonts w:eastAsia="SimSun" w:hint="eastAsia"/>
          <w:i/>
          <w:color w:val="000000"/>
          <w:sz w:val="24"/>
          <w:szCs w:val="24"/>
          <w:lang w:eastAsia="zh-CN"/>
        </w:rPr>
        <w:t>建议</w:t>
      </w:r>
      <w:r w:rsidRPr="00877259">
        <w:rPr>
          <w:rFonts w:eastAsia="SimSun" w:hint="eastAsia"/>
          <w:color w:val="000000"/>
          <w:sz w:val="24"/>
          <w:szCs w:val="24"/>
          <w:lang w:eastAsia="zh-CN"/>
        </w:rPr>
        <w:t xml:space="preserve">  </w:t>
      </w:r>
      <w:r w:rsidRPr="00877259">
        <w:rPr>
          <w:rFonts w:eastAsia="SimSun" w:hint="eastAsia"/>
          <w:color w:val="000000"/>
          <w:sz w:val="24"/>
          <w:szCs w:val="24"/>
          <w:lang w:eastAsia="zh-CN"/>
        </w:rPr>
        <w:t>缔约方大会第十二次会议通过本决定附件所载的执行</w:t>
      </w:r>
      <w:proofErr w:type="gramEnd"/>
      <w:r w:rsidRPr="00877259">
        <w:rPr>
          <w:rFonts w:eastAsia="SimSun" w:hint="eastAsia"/>
          <w:color w:val="000000"/>
          <w:sz w:val="24"/>
          <w:szCs w:val="24"/>
          <w:lang w:eastAsia="zh-CN"/>
        </w:rPr>
        <w:t>《卡塔赫纳宣言》的行动路线图；</w:t>
      </w:r>
    </w:p>
    <w:p w:rsidR="00877259" w:rsidRPr="00877259" w:rsidRDefault="00877259" w:rsidP="002F1F77">
      <w:pPr>
        <w:tabs>
          <w:tab w:val="clear" w:pos="1247"/>
          <w:tab w:val="clear" w:pos="1814"/>
          <w:tab w:val="clear" w:pos="2381"/>
          <w:tab w:val="clear" w:pos="2948"/>
          <w:tab w:val="clear" w:pos="3515"/>
          <w:tab w:val="left" w:pos="624"/>
        </w:tabs>
        <w:spacing w:after="120"/>
        <w:ind w:left="1247" w:firstLine="624"/>
        <w:rPr>
          <w:rFonts w:eastAsia="SimSun"/>
          <w:sz w:val="24"/>
          <w:szCs w:val="24"/>
          <w:lang w:eastAsia="zh-CN"/>
        </w:rPr>
      </w:pPr>
      <w:r w:rsidRPr="00877259">
        <w:rPr>
          <w:rFonts w:eastAsia="SimSun"/>
          <w:color w:val="000000"/>
          <w:sz w:val="24"/>
          <w:szCs w:val="24"/>
          <w:lang w:eastAsia="zh-CN"/>
        </w:rPr>
        <w:t>3.</w:t>
      </w:r>
      <w:r w:rsidRPr="00877259">
        <w:rPr>
          <w:rFonts w:eastAsia="SimSun"/>
          <w:color w:val="000000"/>
          <w:sz w:val="24"/>
          <w:szCs w:val="24"/>
          <w:lang w:eastAsia="zh-CN"/>
        </w:rPr>
        <w:tab/>
      </w:r>
      <w:proofErr w:type="gramStart"/>
      <w:r w:rsidRPr="00877259">
        <w:rPr>
          <w:rFonts w:eastAsia="SimSun" w:hint="eastAsia"/>
          <w:i/>
          <w:sz w:val="24"/>
          <w:szCs w:val="24"/>
          <w:lang w:eastAsia="zh-CN"/>
        </w:rPr>
        <w:t>还建议</w:t>
      </w:r>
      <w:r w:rsidRPr="00877259">
        <w:rPr>
          <w:rFonts w:eastAsia="SimSun" w:hint="eastAsia"/>
          <w:sz w:val="24"/>
          <w:szCs w:val="24"/>
          <w:lang w:eastAsia="zh-CN"/>
        </w:rPr>
        <w:t xml:space="preserve">  </w:t>
      </w:r>
      <w:r w:rsidRPr="00877259">
        <w:rPr>
          <w:rFonts w:eastAsia="SimSun" w:hint="eastAsia"/>
          <w:sz w:val="24"/>
          <w:szCs w:val="24"/>
          <w:lang w:eastAsia="zh-CN"/>
        </w:rPr>
        <w:t>缔约方大会第十二次会议任命无害环境管理问题专家工作组或任命一个新的闭会期间工作组</w:t>
      </w:r>
      <w:proofErr w:type="gramEnd"/>
      <w:r w:rsidRPr="00877259">
        <w:rPr>
          <w:rFonts w:eastAsia="SimSun" w:hint="eastAsia"/>
          <w:sz w:val="24"/>
          <w:szCs w:val="24"/>
          <w:lang w:eastAsia="zh-CN"/>
        </w:rPr>
        <w:t>，负责编写指导意见，以协助缔约方制定高效战略，以期实现防止和尽量减少危险废物及其他废物产生的目标，并邀请该工作组内的一个牵头国家就编写指导意见开展工作。</w:t>
      </w:r>
    </w:p>
    <w:p w:rsidR="00877259" w:rsidRPr="00877259" w:rsidRDefault="00877259" w:rsidP="002F1F77">
      <w:pPr>
        <w:tabs>
          <w:tab w:val="clear" w:pos="1814"/>
          <w:tab w:val="clear" w:pos="2381"/>
          <w:tab w:val="clear" w:pos="2948"/>
          <w:tab w:val="clear" w:pos="3515"/>
          <w:tab w:val="left" w:pos="1276"/>
          <w:tab w:val="left" w:pos="1871"/>
          <w:tab w:val="left" w:pos="2495"/>
        </w:tabs>
        <w:spacing w:before="240" w:after="240"/>
        <w:ind w:left="1276"/>
        <w:outlineLvl w:val="1"/>
        <w:rPr>
          <w:rFonts w:eastAsia="SimHei"/>
          <w:b/>
          <w:sz w:val="28"/>
          <w:szCs w:val="28"/>
          <w:lang w:eastAsia="zh-CN"/>
        </w:rPr>
      </w:pPr>
      <w:r w:rsidRPr="00877259">
        <w:rPr>
          <w:rFonts w:eastAsia="SimHei"/>
          <w:b/>
          <w:sz w:val="28"/>
          <w:szCs w:val="28"/>
          <w:lang w:eastAsia="zh-CN"/>
        </w:rPr>
        <w:t>第</w:t>
      </w:r>
      <w:r w:rsidRPr="00877259">
        <w:rPr>
          <w:rFonts w:eastAsia="SimHei"/>
          <w:b/>
          <w:sz w:val="28"/>
          <w:szCs w:val="28"/>
          <w:lang w:eastAsia="zh-CN"/>
        </w:rPr>
        <w:t>OEWG</w:t>
      </w:r>
      <w:r w:rsidRPr="00877259">
        <w:rPr>
          <w:rFonts w:eastAsia="SimHei"/>
          <w:b/>
          <w:sz w:val="28"/>
          <w:szCs w:val="28"/>
          <w:lang w:eastAsia="zh-CN"/>
        </w:rPr>
        <w:noBreakHyphen/>
        <w:t xml:space="preserve">9/1 </w:t>
      </w:r>
      <w:r w:rsidRPr="00877259">
        <w:rPr>
          <w:rFonts w:eastAsia="SimHei"/>
          <w:b/>
          <w:sz w:val="28"/>
          <w:szCs w:val="28"/>
          <w:lang w:eastAsia="zh-CN"/>
        </w:rPr>
        <w:t>号决定附件</w:t>
      </w:r>
    </w:p>
    <w:p w:rsidR="00877259" w:rsidRPr="00877259" w:rsidRDefault="00877259" w:rsidP="002F1F77">
      <w:pPr>
        <w:spacing w:after="120"/>
        <w:ind w:left="1247"/>
        <w:rPr>
          <w:rFonts w:eastAsia="SimHei"/>
          <w:b/>
          <w:bCs/>
          <w:color w:val="000000"/>
          <w:sz w:val="28"/>
          <w:szCs w:val="26"/>
          <w:lang w:eastAsia="zh-CN"/>
        </w:rPr>
      </w:pPr>
      <w:r w:rsidRPr="00877259">
        <w:rPr>
          <w:rFonts w:eastAsia="SimHei"/>
          <w:b/>
          <w:bCs/>
          <w:color w:val="000000"/>
          <w:sz w:val="28"/>
          <w:szCs w:val="26"/>
          <w:lang w:eastAsia="zh-CN"/>
        </w:rPr>
        <w:t>执行《卡塔赫纳宣言》的行动路线图</w:t>
      </w:r>
    </w:p>
    <w:p w:rsidR="00877259" w:rsidRPr="00877259" w:rsidRDefault="00877259" w:rsidP="002F1F77">
      <w:pPr>
        <w:numPr>
          <w:ilvl w:val="0"/>
          <w:numId w:val="4"/>
        </w:numPr>
        <w:tabs>
          <w:tab w:val="clear" w:pos="1247"/>
          <w:tab w:val="clear" w:pos="1814"/>
          <w:tab w:val="clear" w:pos="2381"/>
          <w:tab w:val="clear" w:pos="2948"/>
          <w:tab w:val="clear" w:pos="3515"/>
          <w:tab w:val="left" w:pos="624"/>
        </w:tabs>
        <w:spacing w:after="120"/>
        <w:ind w:left="1247" w:firstLine="624"/>
        <w:rPr>
          <w:rFonts w:eastAsia="SimSun"/>
          <w:sz w:val="24"/>
          <w:szCs w:val="24"/>
          <w:lang w:eastAsia="zh-CN"/>
        </w:rPr>
      </w:pPr>
      <w:r w:rsidRPr="00877259">
        <w:rPr>
          <w:rFonts w:eastAsia="SimSun" w:hint="eastAsia"/>
          <w:sz w:val="24"/>
          <w:szCs w:val="24"/>
          <w:lang w:eastAsia="zh-CN"/>
        </w:rPr>
        <w:t>下表所列的执行《卡塔赫纳宣言》的行动路线图有助于实现</w:t>
      </w:r>
      <w:r w:rsidRPr="00877259">
        <w:rPr>
          <w:rFonts w:eastAsia="SimSun" w:hint="eastAsia"/>
          <w:sz w:val="24"/>
          <w:szCs w:val="24"/>
          <w:lang w:eastAsia="zh-CN"/>
        </w:rPr>
        <w:t>2012</w:t>
      </w:r>
      <w:r w:rsidRPr="00877259">
        <w:rPr>
          <w:rFonts w:eastAsia="SimSun"/>
          <w:sz w:val="24"/>
          <w:szCs w:val="24"/>
          <w:lang w:val="en-US" w:eastAsia="zh-CN"/>
        </w:rPr>
        <w:t>–2</w:t>
      </w:r>
      <w:r w:rsidRPr="00877259">
        <w:rPr>
          <w:rFonts w:eastAsia="SimSun" w:hint="eastAsia"/>
          <w:sz w:val="24"/>
          <w:szCs w:val="24"/>
          <w:lang w:eastAsia="zh-CN"/>
        </w:rPr>
        <w:t xml:space="preserve">021 </w:t>
      </w:r>
      <w:r w:rsidRPr="00877259">
        <w:rPr>
          <w:rFonts w:eastAsia="SimSun" w:hint="eastAsia"/>
          <w:sz w:val="24"/>
          <w:szCs w:val="24"/>
          <w:lang w:eastAsia="zh-CN"/>
        </w:rPr>
        <w:t>年《巴塞尔公约》实施工作战略框架的主要目标。</w:t>
      </w:r>
    </w:p>
    <w:p w:rsidR="00877259" w:rsidRPr="00877259" w:rsidRDefault="00877259" w:rsidP="002F1F77">
      <w:pPr>
        <w:numPr>
          <w:ilvl w:val="0"/>
          <w:numId w:val="4"/>
        </w:numPr>
        <w:tabs>
          <w:tab w:val="clear" w:pos="1247"/>
          <w:tab w:val="clear" w:pos="1814"/>
          <w:tab w:val="clear" w:pos="2381"/>
          <w:tab w:val="clear" w:pos="2948"/>
          <w:tab w:val="clear" w:pos="3515"/>
          <w:tab w:val="left" w:pos="624"/>
        </w:tabs>
        <w:spacing w:after="120"/>
        <w:ind w:left="1247" w:firstLine="624"/>
        <w:rPr>
          <w:rFonts w:eastAsia="SimSun"/>
          <w:sz w:val="24"/>
          <w:szCs w:val="24"/>
          <w:lang w:eastAsia="zh-CN"/>
        </w:rPr>
      </w:pPr>
      <w:r w:rsidRPr="00877259">
        <w:rPr>
          <w:rFonts w:eastAsia="SimSun" w:hint="eastAsia"/>
          <w:sz w:val="24"/>
          <w:szCs w:val="24"/>
          <w:lang w:eastAsia="zh-CN"/>
        </w:rPr>
        <w:t>路线图所列信息收集活动可帮助缔约方及其他各方确定执行《卡塔赫纳宣言》的具体活动。这些活动的确定和执行将会得到在《巴塞尔公约》以及无害环境管理问题专家工作组等其他机构的主持下相关倡议的配合与支持。</w:t>
      </w:r>
    </w:p>
    <w:tbl>
      <w:tblPr>
        <w:tblW w:w="8546" w:type="dxa"/>
        <w:tblInd w:w="1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3060"/>
        <w:gridCol w:w="1890"/>
        <w:gridCol w:w="2066"/>
      </w:tblGrid>
      <w:tr w:rsidR="00877259" w:rsidRPr="00877259" w:rsidTr="00A63D28">
        <w:trPr>
          <w:trHeight w:val="395"/>
          <w:tblHeader/>
        </w:trPr>
        <w:tc>
          <w:tcPr>
            <w:tcW w:w="1530" w:type="dxa"/>
            <w:tcBorders>
              <w:top w:val="single" w:sz="4" w:space="0" w:color="auto"/>
              <w:left w:val="single" w:sz="4" w:space="0" w:color="auto"/>
              <w:bottom w:val="single" w:sz="4" w:space="0" w:color="auto"/>
              <w:right w:val="single" w:sz="4" w:space="0" w:color="auto"/>
            </w:tcBorders>
            <w:shd w:val="clear" w:color="auto" w:fill="auto"/>
          </w:tcPr>
          <w:p w:rsidR="00877259" w:rsidRPr="00877259" w:rsidRDefault="00877259" w:rsidP="002F1F77">
            <w:pPr>
              <w:widowControl w:val="0"/>
              <w:spacing w:after="120"/>
              <w:rPr>
                <w:rFonts w:eastAsia="SimSun"/>
                <w:i/>
                <w:sz w:val="24"/>
                <w:szCs w:val="24"/>
              </w:rPr>
            </w:pPr>
            <w:r w:rsidRPr="00877259">
              <w:rPr>
                <w:rFonts w:eastAsia="SimSun"/>
                <w:color w:val="000000"/>
                <w:sz w:val="24"/>
                <w:szCs w:val="24"/>
                <w:lang w:eastAsia="zh-CN"/>
              </w:rPr>
              <w:br w:type="page"/>
            </w:r>
            <w:r w:rsidRPr="00877259">
              <w:rPr>
                <w:rFonts w:eastAsia="SimSun"/>
                <w:b/>
                <w:sz w:val="24"/>
                <w:szCs w:val="24"/>
                <w:lang w:eastAsia="zh-CN"/>
              </w:rPr>
              <w:br w:type="page"/>
            </w:r>
            <w:r w:rsidRPr="00877259">
              <w:rPr>
                <w:rFonts w:ascii="SimSun" w:eastAsia="SimSun" w:hAnsi="SimSun" w:cs="SimSun" w:hint="eastAsia"/>
                <w:i/>
                <w:sz w:val="24"/>
                <w:szCs w:val="24"/>
                <w:lang w:eastAsia="ko-KR"/>
              </w:rPr>
              <w:t>行动领域</w:t>
            </w:r>
          </w:p>
        </w:tc>
        <w:tc>
          <w:tcPr>
            <w:tcW w:w="3060" w:type="dxa"/>
            <w:tcBorders>
              <w:top w:val="single" w:sz="4" w:space="0" w:color="auto"/>
              <w:left w:val="single" w:sz="4" w:space="0" w:color="auto"/>
              <w:bottom w:val="single" w:sz="4" w:space="0" w:color="auto"/>
              <w:right w:val="single" w:sz="4" w:space="0" w:color="auto"/>
            </w:tcBorders>
          </w:tcPr>
          <w:p w:rsidR="00877259" w:rsidRPr="00877259" w:rsidRDefault="00877259" w:rsidP="002F1F77">
            <w:pPr>
              <w:widowControl w:val="0"/>
              <w:spacing w:after="120"/>
              <w:rPr>
                <w:rFonts w:eastAsia="Batang"/>
                <w:i/>
                <w:sz w:val="24"/>
                <w:szCs w:val="24"/>
                <w:lang w:eastAsia="ko-KR"/>
              </w:rPr>
            </w:pPr>
            <w:r w:rsidRPr="00877259">
              <w:rPr>
                <w:rFonts w:ascii="SimSun" w:eastAsia="SimSun" w:hAnsi="SimSun" w:cs="SimSun" w:hint="eastAsia"/>
                <w:i/>
                <w:sz w:val="24"/>
                <w:szCs w:val="24"/>
                <w:lang w:eastAsia="ko-KR"/>
              </w:rPr>
              <w:t>各项活动</w:t>
            </w:r>
          </w:p>
        </w:tc>
        <w:tc>
          <w:tcPr>
            <w:tcW w:w="1890" w:type="dxa"/>
            <w:tcBorders>
              <w:top w:val="single" w:sz="4" w:space="0" w:color="auto"/>
              <w:left w:val="single" w:sz="4" w:space="0" w:color="auto"/>
              <w:bottom w:val="single" w:sz="4" w:space="0" w:color="auto"/>
              <w:right w:val="single" w:sz="4" w:space="0" w:color="auto"/>
            </w:tcBorders>
          </w:tcPr>
          <w:p w:rsidR="00877259" w:rsidRPr="00877259" w:rsidRDefault="00877259" w:rsidP="002F1F77">
            <w:pPr>
              <w:widowControl w:val="0"/>
              <w:spacing w:after="120"/>
              <w:rPr>
                <w:rFonts w:eastAsia="SimSun"/>
                <w:i/>
                <w:sz w:val="24"/>
                <w:szCs w:val="24"/>
              </w:rPr>
            </w:pPr>
            <w:proofErr w:type="spellStart"/>
            <w:r w:rsidRPr="00877259">
              <w:rPr>
                <w:rFonts w:eastAsia="SimSun" w:hint="eastAsia"/>
                <w:i/>
                <w:sz w:val="24"/>
                <w:szCs w:val="24"/>
              </w:rPr>
              <w:t>行动责任方</w:t>
            </w:r>
            <w:proofErr w:type="spellEnd"/>
          </w:p>
        </w:tc>
        <w:tc>
          <w:tcPr>
            <w:tcW w:w="2066" w:type="dxa"/>
            <w:tcBorders>
              <w:top w:val="single" w:sz="4" w:space="0" w:color="auto"/>
              <w:left w:val="single" w:sz="4" w:space="0" w:color="auto"/>
              <w:bottom w:val="single" w:sz="4" w:space="0" w:color="auto"/>
              <w:right w:val="single" w:sz="4" w:space="0" w:color="auto"/>
            </w:tcBorders>
            <w:shd w:val="clear" w:color="auto" w:fill="auto"/>
          </w:tcPr>
          <w:p w:rsidR="00877259" w:rsidRPr="00877259" w:rsidRDefault="00877259" w:rsidP="002F1F77">
            <w:pPr>
              <w:widowControl w:val="0"/>
              <w:spacing w:after="120"/>
              <w:rPr>
                <w:rFonts w:eastAsia="SimSun"/>
                <w:i/>
                <w:sz w:val="24"/>
                <w:szCs w:val="24"/>
              </w:rPr>
            </w:pPr>
            <w:proofErr w:type="spellStart"/>
            <w:r w:rsidRPr="00877259">
              <w:rPr>
                <w:rFonts w:eastAsia="SimSun" w:hint="eastAsia"/>
                <w:i/>
                <w:sz w:val="24"/>
                <w:szCs w:val="24"/>
              </w:rPr>
              <w:t>时间安排</w:t>
            </w:r>
            <w:proofErr w:type="spellEnd"/>
          </w:p>
        </w:tc>
      </w:tr>
      <w:tr w:rsidR="00877259" w:rsidRPr="00877259" w:rsidTr="00A63D28">
        <w:trPr>
          <w:trHeight w:val="2139"/>
        </w:trPr>
        <w:tc>
          <w:tcPr>
            <w:tcW w:w="1530" w:type="dxa"/>
            <w:vMerge w:val="restart"/>
            <w:tcBorders>
              <w:top w:val="single" w:sz="4" w:space="0" w:color="auto"/>
              <w:left w:val="single" w:sz="4" w:space="0" w:color="auto"/>
              <w:right w:val="single" w:sz="4" w:space="0" w:color="auto"/>
            </w:tcBorders>
            <w:shd w:val="clear" w:color="auto" w:fill="auto"/>
          </w:tcPr>
          <w:p w:rsidR="00877259" w:rsidRPr="00877259" w:rsidRDefault="00877259" w:rsidP="002F1F77">
            <w:pPr>
              <w:widowControl w:val="0"/>
              <w:spacing w:after="120"/>
              <w:rPr>
                <w:rFonts w:eastAsia="SimSun"/>
                <w:color w:val="000000"/>
                <w:sz w:val="24"/>
                <w:szCs w:val="24"/>
              </w:rPr>
            </w:pPr>
            <w:proofErr w:type="spellStart"/>
            <w:r w:rsidRPr="00877259">
              <w:rPr>
                <w:rFonts w:eastAsia="SimSun" w:hint="eastAsia"/>
                <w:color w:val="000000"/>
                <w:sz w:val="24"/>
                <w:szCs w:val="24"/>
              </w:rPr>
              <w:t>信息收集</w:t>
            </w:r>
            <w:proofErr w:type="spellEnd"/>
          </w:p>
        </w:tc>
        <w:tc>
          <w:tcPr>
            <w:tcW w:w="3060" w:type="dxa"/>
            <w:tcBorders>
              <w:top w:val="single" w:sz="4" w:space="0" w:color="auto"/>
              <w:left w:val="single" w:sz="4" w:space="0" w:color="auto"/>
              <w:bottom w:val="nil"/>
              <w:right w:val="single" w:sz="4" w:space="0" w:color="auto"/>
            </w:tcBorders>
          </w:tcPr>
          <w:p w:rsidR="00877259" w:rsidRPr="00877259" w:rsidRDefault="00877259" w:rsidP="002F1F77">
            <w:pPr>
              <w:widowControl w:val="0"/>
              <w:spacing w:after="120"/>
              <w:rPr>
                <w:rFonts w:eastAsia="SimSun"/>
                <w:color w:val="000000"/>
                <w:sz w:val="24"/>
                <w:szCs w:val="24"/>
                <w:lang w:eastAsia="zh-CN"/>
              </w:rPr>
            </w:pPr>
            <w:r w:rsidRPr="00877259">
              <w:rPr>
                <w:rFonts w:eastAsia="SimSun"/>
                <w:color w:val="000000"/>
                <w:sz w:val="24"/>
                <w:szCs w:val="24"/>
                <w:lang w:eastAsia="zh-CN"/>
              </w:rPr>
              <w:t>1.</w:t>
            </w:r>
            <w:r w:rsidRPr="00877259">
              <w:rPr>
                <w:rFonts w:eastAsia="SimSun" w:hint="eastAsia"/>
                <w:color w:val="000000"/>
                <w:sz w:val="24"/>
                <w:szCs w:val="24"/>
                <w:lang w:eastAsia="zh-CN"/>
              </w:rPr>
              <w:t>向秘书处提交执行《卡塔赫纳宣言》的经验，比如防止和尽量减少废物以及评估进展情况的战略和方案，以及技术转让和能力建设方面的资料</w:t>
            </w:r>
            <w:r w:rsidRPr="00877259">
              <w:rPr>
                <w:rFonts w:eastAsia="SimSun"/>
                <w:sz w:val="24"/>
                <w:vertAlign w:val="superscript"/>
              </w:rPr>
              <w:footnoteReference w:id="1"/>
            </w:r>
            <w:r w:rsidRPr="00877259">
              <w:rPr>
                <w:rFonts w:eastAsia="SimSun"/>
                <w:color w:val="000000"/>
                <w:sz w:val="24"/>
                <w:szCs w:val="24"/>
                <w:lang w:eastAsia="zh-CN"/>
              </w:rPr>
              <w:t xml:space="preserve"> </w:t>
            </w:r>
          </w:p>
        </w:tc>
        <w:tc>
          <w:tcPr>
            <w:tcW w:w="1890" w:type="dxa"/>
            <w:tcBorders>
              <w:top w:val="single" w:sz="4" w:space="0" w:color="auto"/>
              <w:left w:val="single" w:sz="4" w:space="0" w:color="auto"/>
              <w:bottom w:val="nil"/>
              <w:right w:val="single" w:sz="4" w:space="0" w:color="auto"/>
            </w:tcBorders>
          </w:tcPr>
          <w:p w:rsidR="00877259" w:rsidRPr="00877259" w:rsidRDefault="00877259" w:rsidP="002F1F77">
            <w:pPr>
              <w:widowControl w:val="0"/>
              <w:spacing w:after="120"/>
              <w:rPr>
                <w:rFonts w:eastAsia="SimSun"/>
                <w:color w:val="000000"/>
                <w:sz w:val="24"/>
                <w:szCs w:val="24"/>
                <w:lang w:eastAsia="zh-CN"/>
              </w:rPr>
            </w:pPr>
            <w:r w:rsidRPr="00877259">
              <w:rPr>
                <w:rFonts w:eastAsia="SimSun" w:hint="eastAsia"/>
                <w:color w:val="000000"/>
                <w:sz w:val="24"/>
                <w:szCs w:val="24"/>
                <w:lang w:eastAsia="zh-CN"/>
              </w:rPr>
              <w:t>缔约方、签字国及其他各方</w:t>
            </w:r>
          </w:p>
        </w:tc>
        <w:tc>
          <w:tcPr>
            <w:tcW w:w="2066" w:type="dxa"/>
            <w:tcBorders>
              <w:top w:val="single" w:sz="4" w:space="0" w:color="auto"/>
              <w:left w:val="single" w:sz="4" w:space="0" w:color="auto"/>
              <w:bottom w:val="nil"/>
              <w:right w:val="single" w:sz="4" w:space="0" w:color="auto"/>
            </w:tcBorders>
            <w:shd w:val="clear" w:color="auto" w:fill="auto"/>
          </w:tcPr>
          <w:p w:rsidR="00877259" w:rsidRPr="00877259" w:rsidRDefault="00877259" w:rsidP="002F1F77">
            <w:pPr>
              <w:widowControl w:val="0"/>
              <w:spacing w:after="120"/>
              <w:rPr>
                <w:rFonts w:eastAsia="SimSun"/>
                <w:color w:val="000000"/>
                <w:sz w:val="24"/>
                <w:szCs w:val="24"/>
                <w:lang w:eastAsia="zh-CN"/>
              </w:rPr>
            </w:pPr>
            <w:r w:rsidRPr="00877259">
              <w:rPr>
                <w:rFonts w:eastAsia="SimSun" w:hint="eastAsia"/>
                <w:color w:val="000000"/>
                <w:sz w:val="24"/>
                <w:szCs w:val="24"/>
                <w:lang w:eastAsia="zh-CN"/>
              </w:rPr>
              <w:t>缔约方大会第十二届会议上发出提交信息的请求（决定），将持续提供信息</w:t>
            </w:r>
          </w:p>
          <w:p w:rsidR="00877259" w:rsidRPr="00877259" w:rsidRDefault="00877259" w:rsidP="002F1F77">
            <w:pPr>
              <w:widowControl w:val="0"/>
              <w:spacing w:after="120"/>
              <w:rPr>
                <w:rFonts w:eastAsia="SimSun"/>
                <w:sz w:val="24"/>
                <w:szCs w:val="24"/>
                <w:lang w:eastAsia="zh-CN"/>
              </w:rPr>
            </w:pPr>
            <w:r w:rsidRPr="00877259">
              <w:rPr>
                <w:rFonts w:eastAsia="SimSun" w:hint="eastAsia"/>
                <w:color w:val="000000"/>
                <w:sz w:val="24"/>
                <w:szCs w:val="24"/>
                <w:lang w:eastAsia="zh-CN"/>
              </w:rPr>
              <w:t>缔约方大会第十三届会议之前</w:t>
            </w:r>
          </w:p>
        </w:tc>
      </w:tr>
      <w:tr w:rsidR="00877259" w:rsidRPr="00877259" w:rsidTr="00A63D28">
        <w:trPr>
          <w:trHeight w:val="1270"/>
        </w:trPr>
        <w:tc>
          <w:tcPr>
            <w:tcW w:w="1530" w:type="dxa"/>
            <w:vMerge/>
            <w:tcBorders>
              <w:left w:val="single" w:sz="4" w:space="0" w:color="auto"/>
              <w:bottom w:val="single" w:sz="4" w:space="0" w:color="auto"/>
              <w:right w:val="single" w:sz="4" w:space="0" w:color="auto"/>
            </w:tcBorders>
            <w:shd w:val="clear" w:color="auto" w:fill="auto"/>
          </w:tcPr>
          <w:p w:rsidR="00877259" w:rsidRPr="00877259" w:rsidRDefault="00877259" w:rsidP="002F1F77">
            <w:pPr>
              <w:widowControl w:val="0"/>
              <w:spacing w:after="120"/>
              <w:rPr>
                <w:rFonts w:eastAsia="SimSun"/>
                <w:color w:val="000000"/>
                <w:sz w:val="24"/>
                <w:szCs w:val="24"/>
                <w:lang w:eastAsia="zh-CN"/>
              </w:rPr>
            </w:pPr>
          </w:p>
        </w:tc>
        <w:tc>
          <w:tcPr>
            <w:tcW w:w="3060" w:type="dxa"/>
            <w:tcBorders>
              <w:top w:val="nil"/>
              <w:left w:val="single" w:sz="4" w:space="0" w:color="auto"/>
              <w:right w:val="single" w:sz="4" w:space="0" w:color="auto"/>
            </w:tcBorders>
          </w:tcPr>
          <w:p w:rsidR="00877259" w:rsidRPr="00877259" w:rsidRDefault="00877259" w:rsidP="002F1F77">
            <w:pPr>
              <w:widowControl w:val="0"/>
              <w:spacing w:after="120"/>
              <w:rPr>
                <w:rFonts w:eastAsia="SimSun"/>
                <w:color w:val="000000"/>
                <w:sz w:val="24"/>
                <w:szCs w:val="24"/>
                <w:lang w:eastAsia="zh-CN"/>
              </w:rPr>
            </w:pPr>
            <w:r w:rsidRPr="00877259">
              <w:rPr>
                <w:rFonts w:eastAsia="SimSun"/>
                <w:color w:val="000000"/>
                <w:sz w:val="24"/>
                <w:szCs w:val="24"/>
                <w:lang w:eastAsia="zh-CN"/>
              </w:rPr>
              <w:t>2.</w:t>
            </w:r>
            <w:r w:rsidRPr="00877259">
              <w:rPr>
                <w:rFonts w:eastAsia="SimSun" w:hint="eastAsia"/>
                <w:color w:val="000000"/>
                <w:sz w:val="24"/>
                <w:szCs w:val="24"/>
                <w:lang w:eastAsia="zh-CN"/>
              </w:rPr>
              <w:t>秘书处对缔约方、签字国和其他各方提供的关于《卡塔赫纳宣言》执行情况的所有相关资料进行汇编，并将汇编后的材料发布在《巴塞尔公约》网站上</w:t>
            </w:r>
          </w:p>
        </w:tc>
        <w:tc>
          <w:tcPr>
            <w:tcW w:w="1890" w:type="dxa"/>
            <w:tcBorders>
              <w:top w:val="nil"/>
              <w:left w:val="single" w:sz="4" w:space="0" w:color="auto"/>
              <w:right w:val="single" w:sz="4" w:space="0" w:color="auto"/>
            </w:tcBorders>
          </w:tcPr>
          <w:p w:rsidR="00877259" w:rsidRPr="00877259" w:rsidRDefault="00877259" w:rsidP="002F1F77">
            <w:pPr>
              <w:widowControl w:val="0"/>
              <w:spacing w:after="120"/>
              <w:rPr>
                <w:rFonts w:eastAsia="SimSun"/>
                <w:color w:val="000000"/>
                <w:sz w:val="24"/>
                <w:szCs w:val="24"/>
              </w:rPr>
            </w:pPr>
            <w:proofErr w:type="spellStart"/>
            <w:r w:rsidRPr="00877259">
              <w:rPr>
                <w:rFonts w:eastAsia="SimSun" w:hint="eastAsia"/>
                <w:color w:val="000000"/>
                <w:sz w:val="24"/>
                <w:szCs w:val="24"/>
              </w:rPr>
              <w:t>秘书处</w:t>
            </w:r>
            <w:proofErr w:type="spellEnd"/>
          </w:p>
        </w:tc>
        <w:tc>
          <w:tcPr>
            <w:tcW w:w="2066" w:type="dxa"/>
            <w:tcBorders>
              <w:top w:val="nil"/>
              <w:left w:val="single" w:sz="4" w:space="0" w:color="auto"/>
              <w:bottom w:val="single" w:sz="4" w:space="0" w:color="auto"/>
              <w:right w:val="single" w:sz="4" w:space="0" w:color="auto"/>
            </w:tcBorders>
            <w:shd w:val="clear" w:color="auto" w:fill="auto"/>
          </w:tcPr>
          <w:p w:rsidR="00877259" w:rsidRPr="00877259" w:rsidRDefault="00877259" w:rsidP="002F1F77">
            <w:pPr>
              <w:spacing w:after="120"/>
              <w:rPr>
                <w:rFonts w:eastAsia="SimSun"/>
                <w:color w:val="000000"/>
                <w:sz w:val="24"/>
                <w:szCs w:val="24"/>
                <w:lang w:eastAsia="zh-CN"/>
              </w:rPr>
            </w:pPr>
            <w:r w:rsidRPr="00877259">
              <w:rPr>
                <w:rFonts w:eastAsia="SimSun" w:hint="eastAsia"/>
                <w:sz w:val="24"/>
                <w:szCs w:val="24"/>
                <w:lang w:eastAsia="zh-CN"/>
              </w:rPr>
              <w:t>缔约方大会第十三届会议之前</w:t>
            </w:r>
          </w:p>
        </w:tc>
      </w:tr>
      <w:tr w:rsidR="00877259" w:rsidRPr="00877259" w:rsidTr="00A63D28">
        <w:trPr>
          <w:trHeight w:val="757"/>
        </w:trPr>
        <w:tc>
          <w:tcPr>
            <w:tcW w:w="1530" w:type="dxa"/>
            <w:tcBorders>
              <w:left w:val="single" w:sz="4" w:space="0" w:color="auto"/>
              <w:right w:val="single" w:sz="4" w:space="0" w:color="auto"/>
            </w:tcBorders>
            <w:shd w:val="clear" w:color="auto" w:fill="auto"/>
          </w:tcPr>
          <w:p w:rsidR="00877259" w:rsidRPr="00877259" w:rsidRDefault="00877259" w:rsidP="002F1F77">
            <w:pPr>
              <w:keepNext/>
              <w:keepLines/>
              <w:widowControl w:val="0"/>
              <w:spacing w:after="120"/>
              <w:rPr>
                <w:rFonts w:eastAsia="SimSun"/>
                <w:sz w:val="24"/>
                <w:szCs w:val="24"/>
                <w:lang w:eastAsia="zh-CN"/>
              </w:rPr>
            </w:pPr>
            <w:r w:rsidRPr="00877259">
              <w:rPr>
                <w:rFonts w:eastAsia="SimSun" w:hint="eastAsia"/>
                <w:sz w:val="24"/>
                <w:szCs w:val="24"/>
                <w:lang w:eastAsia="zh-CN"/>
              </w:rPr>
              <w:t>制定各项战略（《卡塔赫纳宣言》第</w:t>
            </w:r>
            <w:r w:rsidRPr="00877259">
              <w:rPr>
                <w:rFonts w:eastAsia="SimSun" w:hint="eastAsia"/>
                <w:sz w:val="24"/>
                <w:szCs w:val="24"/>
                <w:lang w:eastAsia="zh-CN"/>
              </w:rPr>
              <w:t>1</w:t>
            </w:r>
            <w:r w:rsidRPr="00877259">
              <w:rPr>
                <w:rFonts w:eastAsia="SimSun" w:hint="eastAsia"/>
                <w:sz w:val="24"/>
                <w:szCs w:val="24"/>
                <w:lang w:eastAsia="zh-CN"/>
              </w:rPr>
              <w:t>段）</w:t>
            </w:r>
            <w:r w:rsidRPr="00877259">
              <w:rPr>
                <w:rFonts w:eastAsia="SimSun"/>
                <w:sz w:val="24"/>
                <w:szCs w:val="24"/>
                <w:lang w:eastAsia="zh-CN"/>
              </w:rPr>
              <w:t xml:space="preserve"> </w:t>
            </w:r>
          </w:p>
        </w:tc>
        <w:tc>
          <w:tcPr>
            <w:tcW w:w="3060" w:type="dxa"/>
            <w:tcBorders>
              <w:top w:val="single" w:sz="4" w:space="0" w:color="auto"/>
              <w:left w:val="single" w:sz="4" w:space="0" w:color="auto"/>
              <w:bottom w:val="single" w:sz="4" w:space="0" w:color="auto"/>
              <w:right w:val="single" w:sz="4" w:space="0" w:color="auto"/>
            </w:tcBorders>
          </w:tcPr>
          <w:p w:rsidR="00877259" w:rsidRPr="00877259" w:rsidRDefault="00877259" w:rsidP="002F1F77">
            <w:pPr>
              <w:keepNext/>
              <w:keepLines/>
              <w:widowControl w:val="0"/>
              <w:spacing w:after="120"/>
              <w:rPr>
                <w:rFonts w:eastAsia="Batang"/>
                <w:sz w:val="24"/>
                <w:szCs w:val="24"/>
                <w:lang w:eastAsia="zh-CN"/>
              </w:rPr>
            </w:pPr>
            <w:r w:rsidRPr="00877259">
              <w:rPr>
                <w:rFonts w:eastAsia="SimSun" w:hint="eastAsia"/>
                <w:color w:val="000000"/>
                <w:sz w:val="24"/>
                <w:szCs w:val="24"/>
                <w:lang w:eastAsia="zh-CN"/>
              </w:rPr>
              <w:t>编写指导意见，以酌情协助缔约方制定高效战略，以期实现防止和尽量减少危险废物及其他废物的产生并对其加以处置</w:t>
            </w:r>
            <w:r w:rsidRPr="00877259">
              <w:rPr>
                <w:rFonts w:eastAsia="SimSun" w:hint="eastAsia"/>
                <w:color w:val="000000"/>
                <w:sz w:val="24"/>
                <w:szCs w:val="24"/>
                <w:lang w:eastAsia="zh-CN"/>
              </w:rPr>
              <w:t xml:space="preserve"> </w:t>
            </w:r>
            <w:r w:rsidRPr="00877259">
              <w:rPr>
                <w:rFonts w:eastAsia="SimSun" w:hint="eastAsia"/>
                <w:color w:val="000000"/>
                <w:sz w:val="24"/>
                <w:szCs w:val="24"/>
                <w:lang w:eastAsia="zh-CN"/>
              </w:rPr>
              <w:t>，同时考虑到无害环境管理问题专家工作组编写的预防手册</w:t>
            </w:r>
          </w:p>
        </w:tc>
        <w:tc>
          <w:tcPr>
            <w:tcW w:w="1890" w:type="dxa"/>
            <w:tcBorders>
              <w:left w:val="single" w:sz="4" w:space="0" w:color="auto"/>
              <w:bottom w:val="single" w:sz="4" w:space="0" w:color="auto"/>
              <w:right w:val="single" w:sz="4" w:space="0" w:color="auto"/>
            </w:tcBorders>
          </w:tcPr>
          <w:p w:rsidR="00877259" w:rsidRPr="00877259" w:rsidRDefault="00877259" w:rsidP="002F1F77">
            <w:pPr>
              <w:keepNext/>
              <w:keepLines/>
              <w:widowControl w:val="0"/>
              <w:spacing w:after="120"/>
              <w:rPr>
                <w:rFonts w:eastAsia="SimSun"/>
                <w:sz w:val="24"/>
                <w:szCs w:val="24"/>
                <w:lang w:eastAsia="zh-CN"/>
              </w:rPr>
            </w:pPr>
            <w:r w:rsidRPr="00877259">
              <w:rPr>
                <w:rFonts w:eastAsia="SimSun" w:hint="eastAsia"/>
                <w:color w:val="000000"/>
                <w:sz w:val="24"/>
                <w:szCs w:val="24"/>
                <w:lang w:eastAsia="zh-CN"/>
              </w:rPr>
              <w:t>各缔约方和无害环境管理问题专家工作组</w:t>
            </w:r>
            <w:r w:rsidRPr="00877259">
              <w:rPr>
                <w:rFonts w:eastAsia="SimSun" w:hint="eastAsia"/>
                <w:color w:val="000000"/>
                <w:sz w:val="24"/>
                <w:szCs w:val="24"/>
                <w:lang w:eastAsia="zh-CN"/>
              </w:rPr>
              <w:t>/</w:t>
            </w:r>
            <w:r w:rsidRPr="00877259">
              <w:rPr>
                <w:rFonts w:eastAsia="SimSun" w:hint="eastAsia"/>
                <w:color w:val="000000"/>
                <w:sz w:val="24"/>
                <w:szCs w:val="24"/>
                <w:lang w:eastAsia="zh-CN"/>
              </w:rPr>
              <w:t>闭会期间工作组</w:t>
            </w:r>
          </w:p>
        </w:tc>
        <w:tc>
          <w:tcPr>
            <w:tcW w:w="2066" w:type="dxa"/>
            <w:tcBorders>
              <w:left w:val="single" w:sz="4" w:space="0" w:color="auto"/>
              <w:bottom w:val="single" w:sz="4" w:space="0" w:color="auto"/>
              <w:right w:val="single" w:sz="4" w:space="0" w:color="auto"/>
            </w:tcBorders>
            <w:shd w:val="clear" w:color="auto" w:fill="auto"/>
          </w:tcPr>
          <w:p w:rsidR="00877259" w:rsidRPr="00877259" w:rsidRDefault="00877259" w:rsidP="002F1F77">
            <w:pPr>
              <w:keepNext/>
              <w:keepLines/>
              <w:widowControl w:val="0"/>
              <w:spacing w:after="120"/>
              <w:rPr>
                <w:rFonts w:eastAsia="SimSun"/>
                <w:sz w:val="24"/>
                <w:szCs w:val="24"/>
                <w:lang w:eastAsia="zh-CN"/>
              </w:rPr>
            </w:pPr>
            <w:r w:rsidRPr="00877259">
              <w:rPr>
                <w:rFonts w:eastAsia="SimSun" w:hint="eastAsia"/>
                <w:color w:val="000000"/>
                <w:sz w:val="24"/>
                <w:szCs w:val="24"/>
                <w:lang w:eastAsia="zh-CN"/>
              </w:rPr>
              <w:t>缔约方大会第十三届会议</w:t>
            </w:r>
          </w:p>
        </w:tc>
      </w:tr>
      <w:tr w:rsidR="00877259" w:rsidRPr="00877259" w:rsidTr="00A63D28">
        <w:trPr>
          <w:trHeight w:val="2810"/>
        </w:trPr>
        <w:tc>
          <w:tcPr>
            <w:tcW w:w="1530" w:type="dxa"/>
            <w:vMerge w:val="restart"/>
            <w:tcBorders>
              <w:left w:val="single" w:sz="4" w:space="0" w:color="auto"/>
              <w:right w:val="single" w:sz="4" w:space="0" w:color="auto"/>
            </w:tcBorders>
            <w:shd w:val="clear" w:color="auto" w:fill="auto"/>
          </w:tcPr>
          <w:p w:rsidR="00877259" w:rsidRPr="00877259" w:rsidRDefault="00877259" w:rsidP="002F1F77">
            <w:pPr>
              <w:widowControl w:val="0"/>
              <w:spacing w:after="120"/>
              <w:rPr>
                <w:rFonts w:eastAsia="SimSun" w:hint="eastAsia"/>
                <w:color w:val="000000"/>
                <w:sz w:val="24"/>
                <w:szCs w:val="24"/>
                <w:lang w:eastAsia="zh-CN"/>
              </w:rPr>
            </w:pPr>
            <w:r w:rsidRPr="00877259">
              <w:rPr>
                <w:rFonts w:eastAsia="SimSun" w:hint="eastAsia"/>
                <w:color w:val="000000"/>
                <w:sz w:val="24"/>
                <w:szCs w:val="24"/>
                <w:lang w:eastAsia="zh-CN"/>
              </w:rPr>
              <w:t>加强废物预防</w:t>
            </w:r>
          </w:p>
          <w:p w:rsidR="00877259" w:rsidRPr="00877259" w:rsidRDefault="00877259" w:rsidP="002F1F77">
            <w:pPr>
              <w:widowControl w:val="0"/>
              <w:spacing w:after="120"/>
              <w:rPr>
                <w:rFonts w:eastAsia="SimSun"/>
                <w:sz w:val="24"/>
                <w:szCs w:val="24"/>
                <w:lang w:eastAsia="zh-CN"/>
              </w:rPr>
            </w:pPr>
            <w:r w:rsidRPr="00877259">
              <w:rPr>
                <w:rFonts w:eastAsia="SimSun" w:hint="eastAsia"/>
                <w:color w:val="000000"/>
                <w:sz w:val="24"/>
                <w:szCs w:val="24"/>
                <w:lang w:eastAsia="zh-CN"/>
              </w:rPr>
              <w:t>（《卡塔赫纳宣言》第</w:t>
            </w:r>
            <w:r w:rsidRPr="00877259">
              <w:rPr>
                <w:rFonts w:eastAsia="SimSun" w:hint="eastAsia"/>
                <w:color w:val="000000"/>
                <w:sz w:val="24"/>
                <w:szCs w:val="24"/>
                <w:lang w:eastAsia="zh-CN"/>
              </w:rPr>
              <w:t>5</w:t>
            </w:r>
            <w:r w:rsidRPr="00877259">
              <w:rPr>
                <w:rFonts w:eastAsia="SimSun" w:hint="eastAsia"/>
                <w:color w:val="000000"/>
                <w:sz w:val="24"/>
                <w:szCs w:val="24"/>
                <w:lang w:eastAsia="zh-CN"/>
              </w:rPr>
              <w:t>、</w:t>
            </w:r>
            <w:r w:rsidRPr="00877259">
              <w:rPr>
                <w:rFonts w:eastAsia="SimSun" w:hint="eastAsia"/>
                <w:color w:val="000000"/>
                <w:sz w:val="24"/>
                <w:szCs w:val="24"/>
                <w:lang w:eastAsia="zh-CN"/>
              </w:rPr>
              <w:t>7</w:t>
            </w:r>
            <w:r w:rsidRPr="00877259">
              <w:rPr>
                <w:rFonts w:eastAsia="SimSun" w:hint="eastAsia"/>
                <w:color w:val="000000"/>
                <w:sz w:val="24"/>
                <w:szCs w:val="24"/>
                <w:lang w:eastAsia="zh-CN"/>
              </w:rPr>
              <w:t>、</w:t>
            </w:r>
            <w:r w:rsidRPr="00877259">
              <w:rPr>
                <w:rFonts w:eastAsia="SimSun" w:hint="eastAsia"/>
                <w:color w:val="000000"/>
                <w:sz w:val="24"/>
                <w:szCs w:val="24"/>
                <w:lang w:eastAsia="zh-CN"/>
              </w:rPr>
              <w:t>8</w:t>
            </w:r>
            <w:r w:rsidRPr="00877259">
              <w:rPr>
                <w:rFonts w:eastAsia="SimSun" w:hint="eastAsia"/>
                <w:color w:val="000000"/>
                <w:sz w:val="24"/>
                <w:szCs w:val="24"/>
                <w:lang w:eastAsia="zh-CN"/>
              </w:rPr>
              <w:t>、</w:t>
            </w:r>
            <w:r w:rsidRPr="00877259">
              <w:rPr>
                <w:rFonts w:eastAsia="SimSun" w:hint="eastAsia"/>
                <w:color w:val="000000"/>
                <w:sz w:val="24"/>
                <w:szCs w:val="24"/>
                <w:lang w:eastAsia="zh-CN"/>
              </w:rPr>
              <w:t>12</w:t>
            </w:r>
            <w:r w:rsidRPr="00877259">
              <w:rPr>
                <w:rFonts w:eastAsia="SimSun" w:hint="eastAsia"/>
                <w:color w:val="000000"/>
                <w:sz w:val="24"/>
                <w:szCs w:val="24"/>
                <w:lang w:eastAsia="zh-CN"/>
              </w:rPr>
              <w:t>和</w:t>
            </w:r>
            <w:r w:rsidRPr="00877259">
              <w:rPr>
                <w:rFonts w:eastAsia="SimSun" w:hint="eastAsia"/>
                <w:color w:val="000000"/>
                <w:sz w:val="24"/>
                <w:szCs w:val="24"/>
                <w:lang w:eastAsia="zh-CN"/>
              </w:rPr>
              <w:t>13</w:t>
            </w:r>
            <w:r w:rsidRPr="00877259">
              <w:rPr>
                <w:rFonts w:eastAsia="SimSun" w:hint="eastAsia"/>
                <w:color w:val="000000"/>
                <w:sz w:val="24"/>
                <w:szCs w:val="24"/>
                <w:lang w:eastAsia="zh-CN"/>
              </w:rPr>
              <w:t>段）</w:t>
            </w:r>
          </w:p>
        </w:tc>
        <w:tc>
          <w:tcPr>
            <w:tcW w:w="3060" w:type="dxa"/>
            <w:tcBorders>
              <w:top w:val="single" w:sz="4" w:space="0" w:color="auto"/>
              <w:left w:val="single" w:sz="4" w:space="0" w:color="auto"/>
              <w:bottom w:val="nil"/>
              <w:right w:val="single" w:sz="4" w:space="0" w:color="auto"/>
            </w:tcBorders>
          </w:tcPr>
          <w:p w:rsidR="00877259" w:rsidRPr="00877259" w:rsidRDefault="00877259" w:rsidP="002F1F77">
            <w:pPr>
              <w:widowControl w:val="0"/>
              <w:spacing w:after="120"/>
              <w:rPr>
                <w:rFonts w:eastAsia="SimSun"/>
                <w:color w:val="000000"/>
                <w:sz w:val="24"/>
                <w:szCs w:val="24"/>
              </w:rPr>
            </w:pPr>
            <w:proofErr w:type="spellStart"/>
            <w:r w:rsidRPr="00877259">
              <w:rPr>
                <w:rFonts w:eastAsia="SimSun" w:hint="eastAsia"/>
                <w:color w:val="000000"/>
                <w:sz w:val="24"/>
                <w:szCs w:val="24"/>
              </w:rPr>
              <w:t>鼓励</w:t>
            </w:r>
            <w:proofErr w:type="spellEnd"/>
            <w:r w:rsidRPr="00877259">
              <w:rPr>
                <w:rFonts w:eastAsia="SimSun" w:hint="eastAsia"/>
                <w:color w:val="000000"/>
                <w:sz w:val="24"/>
                <w:szCs w:val="24"/>
              </w:rPr>
              <w:t>：</w:t>
            </w:r>
          </w:p>
          <w:p w:rsidR="00877259" w:rsidRPr="00877259" w:rsidRDefault="00877259" w:rsidP="002F1F77">
            <w:pPr>
              <w:widowControl w:val="0"/>
              <w:numPr>
                <w:ilvl w:val="0"/>
                <w:numId w:val="3"/>
              </w:numPr>
              <w:tabs>
                <w:tab w:val="clear" w:pos="1247"/>
                <w:tab w:val="clear" w:pos="1814"/>
                <w:tab w:val="clear" w:pos="2381"/>
                <w:tab w:val="clear" w:pos="2948"/>
                <w:tab w:val="clear" w:pos="3515"/>
                <w:tab w:val="left" w:pos="357"/>
              </w:tabs>
              <w:spacing w:after="200"/>
              <w:ind w:left="340" w:hanging="340"/>
              <w:rPr>
                <w:rFonts w:eastAsia="SimSun"/>
                <w:color w:val="000000"/>
                <w:sz w:val="24"/>
                <w:szCs w:val="24"/>
                <w:lang w:eastAsia="zh-CN"/>
              </w:rPr>
            </w:pPr>
            <w:r w:rsidRPr="00877259">
              <w:rPr>
                <w:rFonts w:eastAsia="SimSun" w:hint="eastAsia"/>
                <w:color w:val="000000"/>
                <w:sz w:val="24"/>
                <w:szCs w:val="24"/>
                <w:lang w:eastAsia="zh-CN"/>
              </w:rPr>
              <w:t>针对引起关切的特定废物流制定协同增效的国家和区域废物预防试点项目</w:t>
            </w:r>
          </w:p>
          <w:p w:rsidR="00877259" w:rsidRPr="00877259" w:rsidRDefault="00877259" w:rsidP="002F1F77">
            <w:pPr>
              <w:widowControl w:val="0"/>
              <w:numPr>
                <w:ilvl w:val="0"/>
                <w:numId w:val="3"/>
              </w:numPr>
              <w:tabs>
                <w:tab w:val="clear" w:pos="1247"/>
                <w:tab w:val="clear" w:pos="1814"/>
                <w:tab w:val="clear" w:pos="2381"/>
                <w:tab w:val="clear" w:pos="2948"/>
                <w:tab w:val="clear" w:pos="3515"/>
                <w:tab w:val="left" w:pos="357"/>
              </w:tabs>
              <w:spacing w:after="120"/>
              <w:ind w:left="340" w:hanging="340"/>
              <w:rPr>
                <w:rFonts w:eastAsia="SimSun"/>
                <w:color w:val="000000"/>
                <w:sz w:val="24"/>
                <w:szCs w:val="24"/>
                <w:lang w:eastAsia="zh-CN"/>
              </w:rPr>
            </w:pPr>
            <w:r w:rsidRPr="00877259">
              <w:rPr>
                <w:rFonts w:eastAsia="SimSun" w:hint="eastAsia"/>
                <w:color w:val="000000"/>
                <w:sz w:val="24"/>
                <w:szCs w:val="24"/>
                <w:lang w:eastAsia="zh-CN"/>
              </w:rPr>
              <w:t>改善获取各类较清洁生产方法的渠道以及获取关于危险化学品及材料的较低危险程度替代品的信息的渠道</w:t>
            </w:r>
          </w:p>
        </w:tc>
        <w:tc>
          <w:tcPr>
            <w:tcW w:w="1890" w:type="dxa"/>
            <w:tcBorders>
              <w:left w:val="single" w:sz="4" w:space="0" w:color="auto"/>
              <w:bottom w:val="nil"/>
              <w:right w:val="single" w:sz="4" w:space="0" w:color="auto"/>
            </w:tcBorders>
          </w:tcPr>
          <w:p w:rsidR="00877259" w:rsidRPr="00877259" w:rsidRDefault="00877259" w:rsidP="002F1F77">
            <w:pPr>
              <w:widowControl w:val="0"/>
              <w:spacing w:after="120"/>
              <w:rPr>
                <w:rFonts w:eastAsia="SimSun"/>
                <w:color w:val="000000"/>
                <w:sz w:val="24"/>
                <w:szCs w:val="24"/>
                <w:lang w:eastAsia="zh-CN"/>
              </w:rPr>
            </w:pPr>
          </w:p>
          <w:p w:rsidR="00877259" w:rsidRPr="00877259" w:rsidRDefault="00877259" w:rsidP="002F1F77">
            <w:pPr>
              <w:widowControl w:val="0"/>
              <w:spacing w:after="120"/>
              <w:rPr>
                <w:rFonts w:eastAsia="SimSun"/>
                <w:color w:val="000000"/>
                <w:sz w:val="24"/>
                <w:szCs w:val="24"/>
                <w:lang w:eastAsia="zh-CN"/>
              </w:rPr>
            </w:pPr>
            <w:r w:rsidRPr="00877259">
              <w:rPr>
                <w:rFonts w:eastAsia="SimSun" w:hint="eastAsia"/>
                <w:color w:val="000000"/>
                <w:sz w:val="24"/>
                <w:szCs w:val="24"/>
                <w:lang w:eastAsia="zh-CN"/>
              </w:rPr>
              <w:t>各缔约方、巴塞尔公约各区域和协调中心、斯德哥尔摩公约各区域和次区域中心、联合国工业发展组织、全球环境基金、清洁生产中心和私营部门</w:t>
            </w:r>
          </w:p>
          <w:p w:rsidR="00877259" w:rsidRPr="00877259" w:rsidRDefault="00877259" w:rsidP="002F1F77">
            <w:pPr>
              <w:widowControl w:val="0"/>
              <w:spacing w:after="120"/>
              <w:rPr>
                <w:rFonts w:eastAsia="SimSun"/>
                <w:color w:val="000000"/>
                <w:sz w:val="24"/>
                <w:szCs w:val="24"/>
                <w:lang w:eastAsia="zh-CN"/>
              </w:rPr>
            </w:pPr>
          </w:p>
        </w:tc>
        <w:tc>
          <w:tcPr>
            <w:tcW w:w="2066" w:type="dxa"/>
            <w:tcBorders>
              <w:left w:val="single" w:sz="4" w:space="0" w:color="auto"/>
              <w:bottom w:val="nil"/>
              <w:right w:val="single" w:sz="4" w:space="0" w:color="auto"/>
            </w:tcBorders>
            <w:shd w:val="clear" w:color="auto" w:fill="auto"/>
          </w:tcPr>
          <w:p w:rsidR="00877259" w:rsidRPr="00877259" w:rsidRDefault="00877259" w:rsidP="002F1F77">
            <w:pPr>
              <w:widowControl w:val="0"/>
              <w:spacing w:after="120"/>
              <w:rPr>
                <w:rFonts w:eastAsia="SimSun"/>
                <w:sz w:val="24"/>
                <w:szCs w:val="24"/>
              </w:rPr>
            </w:pPr>
            <w:proofErr w:type="spellStart"/>
            <w:r w:rsidRPr="00877259">
              <w:rPr>
                <w:rFonts w:eastAsia="SimSun" w:hint="eastAsia"/>
                <w:sz w:val="24"/>
                <w:szCs w:val="24"/>
              </w:rPr>
              <w:t>持续</w:t>
            </w:r>
            <w:proofErr w:type="spellEnd"/>
          </w:p>
        </w:tc>
      </w:tr>
      <w:tr w:rsidR="00877259" w:rsidRPr="00877259" w:rsidTr="00A63D28">
        <w:trPr>
          <w:trHeight w:val="1756"/>
        </w:trPr>
        <w:tc>
          <w:tcPr>
            <w:tcW w:w="1530" w:type="dxa"/>
            <w:vMerge/>
            <w:tcBorders>
              <w:left w:val="single" w:sz="4" w:space="0" w:color="auto"/>
              <w:right w:val="single" w:sz="4" w:space="0" w:color="auto"/>
            </w:tcBorders>
            <w:shd w:val="clear" w:color="auto" w:fill="auto"/>
          </w:tcPr>
          <w:p w:rsidR="00877259" w:rsidRPr="00877259" w:rsidRDefault="00877259" w:rsidP="002F1F77">
            <w:pPr>
              <w:widowControl w:val="0"/>
              <w:spacing w:after="120"/>
              <w:rPr>
                <w:rFonts w:eastAsia="SimSun"/>
                <w:color w:val="000000"/>
                <w:sz w:val="24"/>
                <w:szCs w:val="24"/>
              </w:rPr>
            </w:pPr>
          </w:p>
        </w:tc>
        <w:tc>
          <w:tcPr>
            <w:tcW w:w="3060" w:type="dxa"/>
            <w:tcBorders>
              <w:top w:val="nil"/>
              <w:left w:val="single" w:sz="4" w:space="0" w:color="auto"/>
              <w:right w:val="single" w:sz="4" w:space="0" w:color="auto"/>
            </w:tcBorders>
          </w:tcPr>
          <w:p w:rsidR="00877259" w:rsidRPr="00877259" w:rsidRDefault="00877259" w:rsidP="002F1F77">
            <w:pPr>
              <w:widowControl w:val="0"/>
              <w:numPr>
                <w:ilvl w:val="0"/>
                <w:numId w:val="3"/>
              </w:numPr>
              <w:tabs>
                <w:tab w:val="clear" w:pos="1247"/>
                <w:tab w:val="clear" w:pos="1814"/>
                <w:tab w:val="clear" w:pos="2381"/>
                <w:tab w:val="clear" w:pos="2948"/>
                <w:tab w:val="clear" w:pos="3515"/>
                <w:tab w:val="left" w:pos="357"/>
              </w:tabs>
              <w:spacing w:after="120"/>
              <w:ind w:left="340" w:hanging="340"/>
              <w:rPr>
                <w:rFonts w:eastAsia="SimSun"/>
                <w:color w:val="000000"/>
                <w:sz w:val="24"/>
                <w:szCs w:val="24"/>
                <w:lang w:eastAsia="zh-CN"/>
              </w:rPr>
            </w:pPr>
            <w:r w:rsidRPr="00877259">
              <w:rPr>
                <w:rFonts w:eastAsia="SimSun" w:hint="eastAsia"/>
                <w:color w:val="000000"/>
                <w:sz w:val="24"/>
                <w:szCs w:val="24"/>
                <w:lang w:eastAsia="zh-CN"/>
              </w:rPr>
              <w:t>开展废物预防方面的提高认识活动，包括提供有关废物预防技术的信息</w:t>
            </w:r>
          </w:p>
        </w:tc>
        <w:tc>
          <w:tcPr>
            <w:tcW w:w="1890" w:type="dxa"/>
            <w:tcBorders>
              <w:top w:val="nil"/>
              <w:left w:val="single" w:sz="4" w:space="0" w:color="auto"/>
              <w:right w:val="single" w:sz="4" w:space="0" w:color="auto"/>
            </w:tcBorders>
          </w:tcPr>
          <w:p w:rsidR="00877259" w:rsidRPr="00877259" w:rsidRDefault="00877259" w:rsidP="002F1F77">
            <w:pPr>
              <w:widowControl w:val="0"/>
              <w:spacing w:after="120"/>
              <w:rPr>
                <w:rFonts w:eastAsia="SimSun"/>
                <w:color w:val="000000"/>
                <w:sz w:val="24"/>
                <w:szCs w:val="24"/>
                <w:lang w:eastAsia="zh-CN"/>
              </w:rPr>
            </w:pPr>
            <w:r w:rsidRPr="00877259">
              <w:rPr>
                <w:rFonts w:eastAsia="SimSun" w:hint="eastAsia"/>
                <w:color w:val="000000"/>
                <w:sz w:val="24"/>
                <w:szCs w:val="24"/>
                <w:lang w:eastAsia="zh-CN"/>
              </w:rPr>
              <w:t>各缔约方、巴塞尔公约各区域和协调中心、斯德哥尔摩公约各区域和次区域中心以及非政府组织</w:t>
            </w:r>
          </w:p>
        </w:tc>
        <w:tc>
          <w:tcPr>
            <w:tcW w:w="2066" w:type="dxa"/>
            <w:tcBorders>
              <w:top w:val="nil"/>
              <w:left w:val="single" w:sz="4" w:space="0" w:color="auto"/>
              <w:right w:val="single" w:sz="4" w:space="0" w:color="auto"/>
            </w:tcBorders>
            <w:shd w:val="clear" w:color="auto" w:fill="auto"/>
          </w:tcPr>
          <w:p w:rsidR="00877259" w:rsidRPr="00877259" w:rsidRDefault="00877259" w:rsidP="002F1F77">
            <w:pPr>
              <w:widowControl w:val="0"/>
              <w:spacing w:after="120"/>
              <w:rPr>
                <w:rFonts w:eastAsia="SimSun"/>
                <w:sz w:val="24"/>
                <w:szCs w:val="24"/>
                <w:lang w:eastAsia="zh-CN"/>
              </w:rPr>
            </w:pPr>
          </w:p>
        </w:tc>
      </w:tr>
      <w:tr w:rsidR="00877259" w:rsidRPr="00877259" w:rsidTr="00A63D28">
        <w:trPr>
          <w:trHeight w:val="1119"/>
        </w:trPr>
        <w:tc>
          <w:tcPr>
            <w:tcW w:w="1530" w:type="dxa"/>
            <w:tcBorders>
              <w:left w:val="single" w:sz="4" w:space="0" w:color="auto"/>
              <w:right w:val="single" w:sz="4" w:space="0" w:color="auto"/>
            </w:tcBorders>
            <w:shd w:val="clear" w:color="auto" w:fill="auto"/>
          </w:tcPr>
          <w:p w:rsidR="00877259" w:rsidRPr="00877259" w:rsidRDefault="00877259" w:rsidP="002F1F77">
            <w:pPr>
              <w:widowControl w:val="0"/>
              <w:spacing w:after="120"/>
              <w:rPr>
                <w:rFonts w:eastAsia="SimSun"/>
                <w:color w:val="000000"/>
                <w:sz w:val="24"/>
                <w:szCs w:val="24"/>
                <w:lang w:eastAsia="zh-CN"/>
              </w:rPr>
            </w:pPr>
            <w:r w:rsidRPr="00877259">
              <w:rPr>
                <w:rFonts w:eastAsia="SimSun" w:hint="eastAsia"/>
                <w:color w:val="000000"/>
                <w:sz w:val="24"/>
                <w:szCs w:val="24"/>
                <w:lang w:eastAsia="zh-CN"/>
              </w:rPr>
              <w:t>相关利益攸关方参与（《卡塔赫纳</w:t>
            </w:r>
            <w:r w:rsidRPr="00877259">
              <w:rPr>
                <w:rFonts w:eastAsia="SimSun" w:hint="eastAsia"/>
                <w:color w:val="000000"/>
                <w:sz w:val="24"/>
                <w:szCs w:val="24"/>
                <w:lang w:eastAsia="zh-CN"/>
              </w:rPr>
              <w:lastRenderedPageBreak/>
              <w:t>宣言》第</w:t>
            </w:r>
            <w:r w:rsidRPr="00877259">
              <w:rPr>
                <w:rFonts w:eastAsia="SimSun" w:hint="eastAsia"/>
                <w:color w:val="000000"/>
                <w:sz w:val="24"/>
                <w:szCs w:val="24"/>
                <w:lang w:eastAsia="zh-CN"/>
              </w:rPr>
              <w:t>11</w:t>
            </w:r>
            <w:r w:rsidRPr="00877259">
              <w:rPr>
                <w:rFonts w:eastAsia="SimSun" w:hint="eastAsia"/>
                <w:color w:val="000000"/>
                <w:sz w:val="24"/>
                <w:szCs w:val="24"/>
                <w:lang w:eastAsia="zh-CN"/>
              </w:rPr>
              <w:t>段）</w:t>
            </w:r>
          </w:p>
        </w:tc>
        <w:tc>
          <w:tcPr>
            <w:tcW w:w="3060" w:type="dxa"/>
            <w:tcBorders>
              <w:top w:val="single" w:sz="4" w:space="0" w:color="auto"/>
              <w:left w:val="single" w:sz="4" w:space="0" w:color="auto"/>
              <w:bottom w:val="single" w:sz="4" w:space="0" w:color="auto"/>
              <w:right w:val="single" w:sz="4" w:space="0" w:color="auto"/>
            </w:tcBorders>
            <w:shd w:val="clear" w:color="auto" w:fill="auto"/>
          </w:tcPr>
          <w:p w:rsidR="00877259" w:rsidRPr="00877259" w:rsidRDefault="00877259" w:rsidP="002F1F77">
            <w:pPr>
              <w:widowControl w:val="0"/>
              <w:spacing w:after="120"/>
              <w:rPr>
                <w:rFonts w:eastAsia="SimSun"/>
                <w:color w:val="000000"/>
                <w:sz w:val="24"/>
                <w:szCs w:val="24"/>
                <w:lang w:eastAsia="zh-CN"/>
              </w:rPr>
            </w:pPr>
            <w:r w:rsidRPr="00877259">
              <w:rPr>
                <w:rFonts w:eastAsia="SimSun" w:hint="eastAsia"/>
                <w:color w:val="000000"/>
                <w:sz w:val="24"/>
                <w:szCs w:val="24"/>
                <w:lang w:eastAsia="zh-CN"/>
              </w:rPr>
              <w:lastRenderedPageBreak/>
              <w:t>酌情鼓励和促进与其他机构、非政府组织、清洁生产中心和私营部门接洽，</w:t>
            </w:r>
            <w:r w:rsidRPr="00877259">
              <w:rPr>
                <w:rFonts w:eastAsia="SimSun" w:hint="eastAsia"/>
                <w:color w:val="000000"/>
                <w:sz w:val="24"/>
                <w:szCs w:val="24"/>
                <w:lang w:eastAsia="zh-CN"/>
              </w:rPr>
              <w:lastRenderedPageBreak/>
              <w:t>以推动防止、尽量减少和回收危险废物及其他废物的相关工作，并为此制定和实施项目、废物预防方案和伙伴关系，同时考虑到来自信息收集活动的汇编资料</w:t>
            </w:r>
          </w:p>
        </w:tc>
        <w:tc>
          <w:tcPr>
            <w:tcW w:w="1890" w:type="dxa"/>
            <w:tcBorders>
              <w:left w:val="single" w:sz="4" w:space="0" w:color="auto"/>
              <w:right w:val="single" w:sz="4" w:space="0" w:color="auto"/>
            </w:tcBorders>
            <w:shd w:val="clear" w:color="auto" w:fill="auto"/>
          </w:tcPr>
          <w:p w:rsidR="00877259" w:rsidRPr="00877259" w:rsidRDefault="00877259" w:rsidP="002F1F77">
            <w:pPr>
              <w:widowControl w:val="0"/>
              <w:spacing w:after="120"/>
              <w:rPr>
                <w:rFonts w:eastAsia="SimSun"/>
                <w:sz w:val="24"/>
                <w:szCs w:val="24"/>
                <w:lang w:eastAsia="zh-CN"/>
              </w:rPr>
            </w:pPr>
            <w:r w:rsidRPr="00877259">
              <w:rPr>
                <w:rFonts w:eastAsia="SimSun" w:hint="eastAsia"/>
                <w:color w:val="000000"/>
                <w:sz w:val="24"/>
                <w:szCs w:val="24"/>
                <w:lang w:eastAsia="zh-CN"/>
              </w:rPr>
              <w:lastRenderedPageBreak/>
              <w:t>各缔约方、巴塞尔公约各区域和协调中心</w:t>
            </w:r>
            <w:r w:rsidRPr="00877259">
              <w:rPr>
                <w:rFonts w:eastAsia="SimSun" w:hint="eastAsia"/>
                <w:color w:val="000000"/>
                <w:sz w:val="24"/>
                <w:szCs w:val="24"/>
                <w:lang w:eastAsia="zh-CN"/>
              </w:rPr>
              <w:lastRenderedPageBreak/>
              <w:t>及斯德哥尔摩公约各区域和次区域中心</w:t>
            </w:r>
          </w:p>
        </w:tc>
        <w:tc>
          <w:tcPr>
            <w:tcW w:w="2066" w:type="dxa"/>
            <w:tcBorders>
              <w:left w:val="single" w:sz="4" w:space="0" w:color="auto"/>
              <w:right w:val="single" w:sz="4" w:space="0" w:color="auto"/>
            </w:tcBorders>
            <w:shd w:val="clear" w:color="auto" w:fill="auto"/>
          </w:tcPr>
          <w:p w:rsidR="00877259" w:rsidRPr="00877259" w:rsidRDefault="00877259" w:rsidP="002F1F77">
            <w:pPr>
              <w:widowControl w:val="0"/>
              <w:spacing w:after="120"/>
              <w:rPr>
                <w:rFonts w:eastAsia="SimSun"/>
                <w:color w:val="000000"/>
                <w:sz w:val="24"/>
                <w:szCs w:val="24"/>
              </w:rPr>
            </w:pPr>
            <w:proofErr w:type="spellStart"/>
            <w:r w:rsidRPr="00877259">
              <w:rPr>
                <w:rFonts w:eastAsia="SimSun" w:hint="eastAsia"/>
                <w:sz w:val="24"/>
                <w:szCs w:val="24"/>
              </w:rPr>
              <w:lastRenderedPageBreak/>
              <w:t>持续</w:t>
            </w:r>
            <w:proofErr w:type="spellEnd"/>
          </w:p>
        </w:tc>
      </w:tr>
    </w:tbl>
    <w:p w:rsidR="00877259" w:rsidRPr="00877259" w:rsidRDefault="00877259" w:rsidP="002F1F77">
      <w:pPr>
        <w:ind w:left="1247"/>
        <w:rPr>
          <w:rFonts w:eastAsia="SimSun"/>
          <w:i/>
          <w:sz w:val="24"/>
          <w:szCs w:val="24"/>
          <w:lang w:eastAsia="zh-CN"/>
        </w:rPr>
      </w:pPr>
      <w:r w:rsidRPr="00877259">
        <w:rPr>
          <w:rFonts w:eastAsia="SimSun" w:hint="eastAsia"/>
          <w:i/>
          <w:sz w:val="24"/>
          <w:szCs w:val="24"/>
          <w:lang w:eastAsia="zh-CN"/>
        </w:rPr>
        <w:lastRenderedPageBreak/>
        <w:t>缩写：</w:t>
      </w:r>
      <w:r w:rsidRPr="00877259">
        <w:rPr>
          <w:rFonts w:eastAsia="SimSun"/>
          <w:i/>
          <w:sz w:val="24"/>
          <w:szCs w:val="24"/>
          <w:lang w:eastAsia="zh-CN"/>
        </w:rPr>
        <w:t xml:space="preserve"> COP-12</w:t>
      </w:r>
      <w:r w:rsidRPr="00877259">
        <w:rPr>
          <w:rFonts w:eastAsia="SimSun" w:hint="eastAsia"/>
          <w:i/>
          <w:sz w:val="24"/>
          <w:szCs w:val="24"/>
          <w:lang w:eastAsia="zh-CN"/>
        </w:rPr>
        <w:t>，缔约方大会第十二次会议；</w:t>
      </w:r>
      <w:r w:rsidRPr="00877259">
        <w:rPr>
          <w:rFonts w:eastAsia="SimSun"/>
          <w:i/>
          <w:sz w:val="24"/>
          <w:szCs w:val="24"/>
          <w:lang w:eastAsia="zh-CN"/>
        </w:rPr>
        <w:t xml:space="preserve"> COP-13</w:t>
      </w:r>
      <w:r w:rsidRPr="00877259">
        <w:rPr>
          <w:rFonts w:eastAsia="SimSun" w:hint="eastAsia"/>
          <w:i/>
          <w:sz w:val="24"/>
          <w:szCs w:val="24"/>
          <w:lang w:eastAsia="zh-CN"/>
        </w:rPr>
        <w:t>，缔约方大会第十三次会议。</w:t>
      </w:r>
      <w:r w:rsidRPr="00877259">
        <w:rPr>
          <w:rFonts w:eastAsia="SimSun"/>
          <w:i/>
          <w:sz w:val="24"/>
          <w:szCs w:val="24"/>
          <w:lang w:eastAsia="zh-CN"/>
        </w:rPr>
        <w:t xml:space="preserve"> </w:t>
      </w:r>
    </w:p>
    <w:p w:rsidR="007E23A8" w:rsidRPr="00877259" w:rsidRDefault="007E23A8" w:rsidP="002F1F77">
      <w:pPr>
        <w:rPr>
          <w:sz w:val="30"/>
          <w:rtl/>
        </w:rPr>
      </w:pPr>
    </w:p>
    <w:sectPr w:rsidR="007E23A8" w:rsidRPr="00877259"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877259" w:rsidRPr="00533E4E" w:rsidRDefault="00877259" w:rsidP="00877259">
      <w:pPr>
        <w:pStyle w:val="FootnoteText"/>
        <w:rPr>
          <w:szCs w:val="18"/>
          <w:lang w:val="en-US" w:eastAsia="zh-CN"/>
        </w:rPr>
      </w:pPr>
      <w:r w:rsidRPr="000E141F">
        <w:rPr>
          <w:rStyle w:val="FootnoteReference"/>
        </w:rPr>
        <w:footnoteRef/>
      </w:r>
      <w:r w:rsidRPr="000E141F">
        <w:rPr>
          <w:szCs w:val="18"/>
          <w:lang w:eastAsia="zh-CN"/>
        </w:rPr>
        <w:t xml:space="preserve"> </w:t>
      </w:r>
      <w:r>
        <w:rPr>
          <w:rFonts w:hint="eastAsia"/>
          <w:szCs w:val="18"/>
          <w:lang w:val="en-US" w:eastAsia="zh-CN"/>
        </w:rPr>
        <w:t xml:space="preserve"> </w:t>
      </w:r>
      <w:r w:rsidRPr="00281EE8">
        <w:rPr>
          <w:rFonts w:hint="eastAsia"/>
          <w:szCs w:val="18"/>
          <w:lang w:val="en-US" w:eastAsia="zh-CN"/>
        </w:rPr>
        <w:t>参见《卡塔赫纳宣言》第1、4、5、7</w:t>
      </w:r>
      <w:r>
        <w:rPr>
          <w:rFonts w:hint="eastAsia"/>
          <w:szCs w:val="18"/>
          <w:lang w:val="en-US" w:eastAsia="zh-CN"/>
        </w:rPr>
        <w:t>、</w:t>
      </w:r>
      <w:r w:rsidRPr="00281EE8">
        <w:rPr>
          <w:rFonts w:hint="eastAsia"/>
          <w:szCs w:val="18"/>
          <w:lang w:val="en-US" w:eastAsia="zh-CN"/>
        </w:rPr>
        <w:t>11</w:t>
      </w:r>
      <w:r>
        <w:rPr>
          <w:rFonts w:hint="eastAsia"/>
          <w:szCs w:val="18"/>
          <w:lang w:val="en-US" w:eastAsia="zh-CN"/>
        </w:rPr>
        <w:t>和12</w:t>
      </w:r>
      <w:r w:rsidRPr="00281EE8">
        <w:rPr>
          <w:rFonts w:hint="eastAsia"/>
          <w:szCs w:val="18"/>
          <w:lang w:val="en-US" w:eastAsia="zh-CN"/>
        </w:rPr>
        <w:t>段。</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47C8D"/>
    <w:rsid w:val="000718B6"/>
    <w:rsid w:val="000B25F8"/>
    <w:rsid w:val="000B7C2F"/>
    <w:rsid w:val="000D0FAD"/>
    <w:rsid w:val="000E52E3"/>
    <w:rsid w:val="001B53BC"/>
    <w:rsid w:val="002529E4"/>
    <w:rsid w:val="00281887"/>
    <w:rsid w:val="002F1F77"/>
    <w:rsid w:val="00327412"/>
    <w:rsid w:val="0035083F"/>
    <w:rsid w:val="003616FC"/>
    <w:rsid w:val="00404267"/>
    <w:rsid w:val="00430E46"/>
    <w:rsid w:val="004F51EC"/>
    <w:rsid w:val="00523046"/>
    <w:rsid w:val="00593817"/>
    <w:rsid w:val="005B2485"/>
    <w:rsid w:val="0060272A"/>
    <w:rsid w:val="006047CB"/>
    <w:rsid w:val="006343E0"/>
    <w:rsid w:val="0064070F"/>
    <w:rsid w:val="006916A4"/>
    <w:rsid w:val="006A4EEB"/>
    <w:rsid w:val="006D5129"/>
    <w:rsid w:val="0075644B"/>
    <w:rsid w:val="007E23A8"/>
    <w:rsid w:val="00803250"/>
    <w:rsid w:val="00827715"/>
    <w:rsid w:val="00877259"/>
    <w:rsid w:val="00890740"/>
    <w:rsid w:val="0094329B"/>
    <w:rsid w:val="00951E19"/>
    <w:rsid w:val="009A65C1"/>
    <w:rsid w:val="009D4646"/>
    <w:rsid w:val="009F6B9A"/>
    <w:rsid w:val="00A16B8F"/>
    <w:rsid w:val="00A27FB7"/>
    <w:rsid w:val="00A53776"/>
    <w:rsid w:val="00B335C6"/>
    <w:rsid w:val="00BB1008"/>
    <w:rsid w:val="00BF57B2"/>
    <w:rsid w:val="00C46341"/>
    <w:rsid w:val="00C91F17"/>
    <w:rsid w:val="00CB0D83"/>
    <w:rsid w:val="00D07BEE"/>
    <w:rsid w:val="00E3382D"/>
    <w:rsid w:val="00E757CE"/>
    <w:rsid w:val="00F547EB"/>
    <w:rsid w:val="00F80B5B"/>
    <w:rsid w:val="00FB59EB"/>
    <w:rsid w:val="00FD6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220</Words>
  <Characters>1147</Characters>
  <Application>Microsoft Office Word</Application>
  <DocSecurity>0</DocSecurity>
  <Lines>19</Lines>
  <Paragraphs>11</Paragraphs>
  <ScaleCrop>false</ScaleCrop>
  <Company>BRS</Company>
  <LinksUpToDate>false</LinksUpToDate>
  <CharactersWithSpaces>1356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3</cp:revision>
  <dcterms:created xsi:type="dcterms:W3CDTF">2015-09-04T15:04:00Z</dcterms:created>
  <dcterms:modified xsi:type="dcterms:W3CDTF">2015-09-04T15:08:00Z</dcterms:modified>
</cp:coreProperties>
</file>