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2D" w:rsidRPr="00266EF2" w:rsidRDefault="00E3382D" w:rsidP="00E3382D">
      <w:pPr>
        <w:pStyle w:val="Normal-pool"/>
        <w:tabs>
          <w:tab w:val="left" w:pos="624"/>
        </w:tabs>
        <w:spacing w:before="240" w:after="120"/>
        <w:ind w:left="1247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OEWG-9</w:t>
      </w:r>
      <w:r w:rsidRPr="00266EF2">
        <w:rPr>
          <w:b/>
          <w:sz w:val="28"/>
          <w:szCs w:val="28"/>
        </w:rPr>
        <w:t>/</w:t>
      </w:r>
      <w:r w:rsidRPr="00266EF2">
        <w:rPr>
          <w:b/>
          <w:sz w:val="28"/>
          <w:szCs w:val="28"/>
          <w:lang w:eastAsia="ja-JP"/>
        </w:rPr>
        <w:t>1</w:t>
      </w:r>
      <w:r w:rsidRPr="00266EF2">
        <w:rPr>
          <w:b/>
          <w:sz w:val="28"/>
          <w:szCs w:val="28"/>
          <w:lang w:val="en-US"/>
        </w:rPr>
        <w:t xml:space="preserve">: </w:t>
      </w:r>
      <w:r>
        <w:rPr>
          <w:b/>
          <w:sz w:val="28"/>
          <w:szCs w:val="28"/>
          <w:lang w:val="en-US"/>
        </w:rPr>
        <w:t xml:space="preserve">Follow-up to the </w:t>
      </w:r>
      <w:r w:rsidRPr="00CD34D3">
        <w:rPr>
          <w:b/>
          <w:sz w:val="28"/>
          <w:szCs w:val="28"/>
          <w:lang w:val="en-US"/>
        </w:rPr>
        <w:t>Cartagena Declaration on the Prevention, Minimization and Recovery of Hazardous Wastes and Other Wastes</w:t>
      </w:r>
    </w:p>
    <w:p w:rsidR="00E3382D" w:rsidRDefault="00E3382D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  <w:rPr>
          <w:i/>
          <w:lang w:val="en-US"/>
        </w:rPr>
      </w:pPr>
      <w:r w:rsidRPr="00BD0714">
        <w:rPr>
          <w:i/>
          <w:lang w:val="en-US"/>
        </w:rPr>
        <w:t>The Open-ended Working Group</w:t>
      </w:r>
    </w:p>
    <w:p w:rsidR="00E3382D" w:rsidRDefault="00E3382D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</w:pPr>
      <w:r w:rsidRPr="00710971">
        <w:t>1.</w:t>
      </w:r>
      <w:r>
        <w:rPr>
          <w:i/>
        </w:rPr>
        <w:tab/>
        <w:t xml:space="preserve">Takes note </w:t>
      </w:r>
      <w:r>
        <w:t xml:space="preserve">of the request from the Conference of the Parties at its eleventh meeting that the Working Group prepare a road map for action and review the progress that parties have made in the implementation of the Cartagena Declaration </w:t>
      </w:r>
      <w:r>
        <w:rPr>
          <w:color w:val="000000"/>
        </w:rPr>
        <w:t>on the Prevention, Minimization and Recovery of Hazardous Wastes and Other Wastes</w:t>
      </w:r>
      <w:r>
        <w:t>;</w:t>
      </w:r>
    </w:p>
    <w:p w:rsidR="00E3382D" w:rsidRDefault="00E3382D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  <w:rPr>
          <w:color w:val="000000"/>
        </w:rPr>
      </w:pPr>
      <w:r w:rsidRPr="00452BA8">
        <w:rPr>
          <w:color w:val="000000"/>
        </w:rPr>
        <w:t>2.</w:t>
      </w:r>
      <w:r w:rsidRPr="00452BA8">
        <w:rPr>
          <w:color w:val="000000"/>
        </w:rPr>
        <w:tab/>
      </w:r>
      <w:r w:rsidRPr="00FA4716">
        <w:rPr>
          <w:i/>
        </w:rPr>
        <w:t>Recommends</w:t>
      </w:r>
      <w:r w:rsidRPr="00452BA8">
        <w:rPr>
          <w:color w:val="000000"/>
        </w:rPr>
        <w:t xml:space="preserve"> that the Conference of the </w:t>
      </w:r>
      <w:r w:rsidRPr="00FA4716">
        <w:t>Parties</w:t>
      </w:r>
      <w:r w:rsidRPr="00452BA8">
        <w:rPr>
          <w:color w:val="000000"/>
        </w:rPr>
        <w:t xml:space="preserve"> at its twelfth meeting </w:t>
      </w:r>
      <w:r>
        <w:rPr>
          <w:color w:val="000000"/>
        </w:rPr>
        <w:t>adopt the road map for action</w:t>
      </w:r>
      <w:r w:rsidRPr="00452BA8">
        <w:rPr>
          <w:color w:val="000000"/>
        </w:rPr>
        <w:t xml:space="preserve"> </w:t>
      </w:r>
      <w:r>
        <w:rPr>
          <w:color w:val="000000"/>
        </w:rPr>
        <w:t>on the implementation of the Cartagena Declaration set out in the annex to the present decision;</w:t>
      </w:r>
    </w:p>
    <w:p w:rsidR="0035083F" w:rsidRDefault="00E3382D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</w:pPr>
      <w:r>
        <w:rPr>
          <w:color w:val="000000"/>
        </w:rPr>
        <w:t>3.</w:t>
      </w:r>
      <w:r>
        <w:rPr>
          <w:color w:val="000000"/>
        </w:rPr>
        <w:tab/>
      </w:r>
      <w:r w:rsidRPr="00155243">
        <w:rPr>
          <w:i/>
          <w:color w:val="000000"/>
        </w:rPr>
        <w:t xml:space="preserve">Also </w:t>
      </w:r>
      <w:r w:rsidRPr="00FA4716">
        <w:rPr>
          <w:i/>
        </w:rPr>
        <w:t>recommends</w:t>
      </w:r>
      <w:r>
        <w:rPr>
          <w:color w:val="000000"/>
        </w:rPr>
        <w:t xml:space="preserve"> that </w:t>
      </w:r>
      <w:r w:rsidRPr="00452BA8">
        <w:rPr>
          <w:color w:val="000000"/>
        </w:rPr>
        <w:t>the Conference of the Parties at its twelfth meeting</w:t>
      </w:r>
      <w:r>
        <w:rPr>
          <w:color w:val="000000"/>
        </w:rPr>
        <w:t xml:space="preserve"> mandate the e</w:t>
      </w:r>
      <w:r>
        <w:t>xpert working group on environmentally sound management</w:t>
      </w:r>
      <w:r>
        <w:rPr>
          <w:szCs w:val="18"/>
        </w:rPr>
        <w:t xml:space="preserve"> or </w:t>
      </w:r>
      <w:r>
        <w:rPr>
          <w:color w:val="000000"/>
        </w:rPr>
        <w:t xml:space="preserve">a new </w:t>
      </w:r>
      <w:proofErr w:type="spellStart"/>
      <w:r>
        <w:rPr>
          <w:color w:val="000000"/>
        </w:rPr>
        <w:t>intersessional</w:t>
      </w:r>
      <w:proofErr w:type="spellEnd"/>
      <w:r>
        <w:rPr>
          <w:color w:val="000000"/>
        </w:rPr>
        <w:t xml:space="preserve"> group to develop guidance to assist parties in developing efficient strategies for achieving prevention and minimization of the generation of hazardous wastes </w:t>
      </w:r>
      <w:r w:rsidRPr="00607206">
        <w:rPr>
          <w:color w:val="000000"/>
        </w:rPr>
        <w:t xml:space="preserve">and other wastes and </w:t>
      </w:r>
      <w:r>
        <w:rPr>
          <w:color w:val="000000"/>
        </w:rPr>
        <w:t xml:space="preserve">that it </w:t>
      </w:r>
      <w:r w:rsidRPr="00607206">
        <w:rPr>
          <w:color w:val="000000"/>
        </w:rPr>
        <w:t>invite a lead country</w:t>
      </w:r>
      <w:r>
        <w:rPr>
          <w:color w:val="000000"/>
        </w:rPr>
        <w:t xml:space="preserve"> within the group to carry out the work on the development of the guidance</w:t>
      </w:r>
      <w:r w:rsidRPr="00322B27">
        <w:t>.</w:t>
      </w:r>
    </w:p>
    <w:p w:rsidR="000B25F8" w:rsidRDefault="000B25F8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</w:pPr>
    </w:p>
    <w:p w:rsidR="000B25F8" w:rsidRPr="00DA3BAD" w:rsidRDefault="000B25F8" w:rsidP="000B25F8">
      <w:pPr>
        <w:pStyle w:val="Subtitle"/>
        <w:keepNext w:val="0"/>
        <w:tabs>
          <w:tab w:val="left" w:pos="1247"/>
          <w:tab w:val="left" w:pos="1276"/>
          <w:tab w:val="left" w:pos="1871"/>
          <w:tab w:val="left" w:pos="2495"/>
        </w:tabs>
        <w:spacing w:before="240" w:after="240"/>
        <w:ind w:left="1276"/>
        <w:rPr>
          <w:sz w:val="28"/>
          <w:szCs w:val="28"/>
        </w:rPr>
      </w:pPr>
      <w:r>
        <w:rPr>
          <w:sz w:val="28"/>
          <w:szCs w:val="28"/>
        </w:rPr>
        <w:t>Annex to decision OEWG</w:t>
      </w:r>
      <w:r>
        <w:rPr>
          <w:sz w:val="28"/>
          <w:szCs w:val="28"/>
        </w:rPr>
        <w:noBreakHyphen/>
        <w:t>9/1</w:t>
      </w:r>
      <w:r w:rsidRPr="00DA3BAD">
        <w:rPr>
          <w:sz w:val="28"/>
          <w:szCs w:val="28"/>
        </w:rPr>
        <w:t xml:space="preserve"> </w:t>
      </w:r>
    </w:p>
    <w:p w:rsidR="000B25F8" w:rsidRPr="00657E65" w:rsidRDefault="000B25F8" w:rsidP="000B25F8">
      <w:pPr>
        <w:pStyle w:val="ZZAnxtitle"/>
        <w:spacing w:before="0"/>
        <w:rPr>
          <w:color w:val="000000"/>
        </w:rPr>
      </w:pPr>
      <w:r w:rsidRPr="002272DB">
        <w:rPr>
          <w:color w:val="000000"/>
        </w:rPr>
        <w:t xml:space="preserve">Road map for action </w:t>
      </w:r>
      <w:r>
        <w:rPr>
          <w:color w:val="000000"/>
        </w:rPr>
        <w:t>on</w:t>
      </w:r>
      <w:r w:rsidRPr="002272DB">
        <w:rPr>
          <w:color w:val="000000"/>
        </w:rPr>
        <w:t xml:space="preserve"> the implementation of the Cartagena </w:t>
      </w:r>
      <w:r w:rsidRPr="002C48AC">
        <w:t>Declaration</w:t>
      </w:r>
    </w:p>
    <w:p w:rsidR="000B25F8" w:rsidRDefault="000B25F8" w:rsidP="000B25F8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6D38B0">
        <w:t xml:space="preserve">The roadmap for action </w:t>
      </w:r>
      <w:r>
        <w:t>on</w:t>
      </w:r>
      <w:r w:rsidRPr="006D38B0">
        <w:t xml:space="preserve"> the implementation of the Cartagena Declaration </w:t>
      </w:r>
      <w:r>
        <w:t xml:space="preserve">set out in the table below </w:t>
      </w:r>
      <w:r w:rsidRPr="006D38B0">
        <w:t xml:space="preserve">contributes to the achievement of the key objectives of the strategic framework </w:t>
      </w:r>
      <w:r>
        <w:t xml:space="preserve">for the implementation of the Basel Convention </w:t>
      </w:r>
      <w:r w:rsidRPr="006D38B0">
        <w:t>for 2012</w:t>
      </w:r>
      <w:r>
        <w:t>–2021.</w:t>
      </w:r>
    </w:p>
    <w:p w:rsidR="000B25F8" w:rsidRDefault="000B25F8" w:rsidP="000B25F8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47" w:firstLine="624"/>
      </w:pPr>
      <w:r w:rsidRPr="006D38B0">
        <w:t>The information</w:t>
      </w:r>
      <w:r>
        <w:t>-</w:t>
      </w:r>
      <w:r w:rsidRPr="006D38B0">
        <w:t xml:space="preserve">gathering activity in the road map may assist parties and others in identifying specific activities </w:t>
      </w:r>
      <w:r>
        <w:t>for</w:t>
      </w:r>
      <w:r w:rsidRPr="006D38B0">
        <w:t xml:space="preserve"> implement</w:t>
      </w:r>
      <w:r>
        <w:t>ing</w:t>
      </w:r>
      <w:r w:rsidRPr="006D38B0">
        <w:t xml:space="preserve"> the Cartagena </w:t>
      </w:r>
      <w:r>
        <w:t xml:space="preserve">Declaration. The activities will be developed and implemented in cooperation with and the support of relevant initiatives </w:t>
      </w:r>
      <w:r w:rsidRPr="007F16A9">
        <w:t>under the auspices of</w:t>
      </w:r>
      <w:r>
        <w:t xml:space="preserve"> the Basel Convention and other entities such as the expert working group on environmentally sound management. </w:t>
      </w:r>
    </w:p>
    <w:tbl>
      <w:tblPr>
        <w:tblW w:w="8546" w:type="dxa"/>
        <w:tblInd w:w="13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20"/>
        <w:gridCol w:w="3420"/>
        <w:gridCol w:w="1890"/>
        <w:gridCol w:w="1616"/>
      </w:tblGrid>
      <w:tr w:rsidR="000B25F8" w:rsidRPr="009A2D39" w:rsidTr="00A63D28">
        <w:trPr>
          <w:trHeight w:val="395"/>
          <w:tblHeader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8331A0" w:rsidRDefault="000B25F8" w:rsidP="00A63D28">
            <w:pPr>
              <w:pStyle w:val="Normal-pool"/>
              <w:widowControl w:val="0"/>
              <w:spacing w:after="120"/>
              <w:rPr>
                <w:i/>
              </w:rPr>
            </w:pPr>
            <w:r w:rsidRPr="008331A0">
              <w:rPr>
                <w:color w:val="000000"/>
              </w:rPr>
              <w:br w:type="page"/>
            </w:r>
            <w:r w:rsidRPr="008331A0">
              <w:rPr>
                <w:b/>
              </w:rPr>
              <w:br w:type="page"/>
            </w:r>
            <w:r w:rsidRPr="008331A0">
              <w:rPr>
                <w:rFonts w:eastAsia="Batang"/>
                <w:i/>
                <w:lang w:eastAsia="ko-KR"/>
              </w:rPr>
              <w:t>Areas for action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F8" w:rsidRPr="008331A0" w:rsidRDefault="000B25F8" w:rsidP="00A63D28">
            <w:pPr>
              <w:pStyle w:val="Normal-pool"/>
              <w:widowControl w:val="0"/>
              <w:spacing w:after="120"/>
              <w:rPr>
                <w:rFonts w:eastAsia="Batang"/>
                <w:i/>
                <w:lang w:eastAsia="ko-KR"/>
              </w:rPr>
            </w:pPr>
            <w:r w:rsidRPr="008331A0">
              <w:rPr>
                <w:rFonts w:eastAsia="Batang"/>
                <w:i/>
                <w:lang w:eastAsia="ko-KR"/>
              </w:rPr>
              <w:t>Activities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F8" w:rsidRPr="008331A0" w:rsidRDefault="000B25F8" w:rsidP="00A63D28">
            <w:pPr>
              <w:pStyle w:val="Normal-pool"/>
              <w:widowControl w:val="0"/>
              <w:spacing w:after="120"/>
              <w:rPr>
                <w:i/>
              </w:rPr>
            </w:pPr>
            <w:r w:rsidRPr="008331A0">
              <w:rPr>
                <w:i/>
              </w:rPr>
              <w:t>Responsible actors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8331A0" w:rsidRDefault="000B25F8" w:rsidP="00A63D28">
            <w:pPr>
              <w:pStyle w:val="Normal-pool"/>
              <w:widowControl w:val="0"/>
              <w:spacing w:after="120"/>
              <w:rPr>
                <w:i/>
              </w:rPr>
            </w:pPr>
            <w:r w:rsidRPr="008331A0">
              <w:rPr>
                <w:i/>
              </w:rPr>
              <w:t>Timeline</w:t>
            </w:r>
          </w:p>
        </w:tc>
      </w:tr>
      <w:tr w:rsidR="000B25F8" w:rsidRPr="009A2D39" w:rsidTr="00A63D28">
        <w:trPr>
          <w:trHeight w:val="2139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Information gathering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 xml:space="preserve">1. Submit to the Secretariat information on experiences in implementing the Cartagena Declaration such as </w:t>
            </w:r>
            <w:r>
              <w:rPr>
                <w:color w:val="000000"/>
              </w:rPr>
              <w:t xml:space="preserve">information on </w:t>
            </w:r>
            <w:r w:rsidRPr="00533E4E">
              <w:rPr>
                <w:color w:val="000000"/>
              </w:rPr>
              <w:t xml:space="preserve">strategies </w:t>
            </w:r>
            <w:r>
              <w:rPr>
                <w:color w:val="000000"/>
              </w:rPr>
              <w:t>and</w:t>
            </w:r>
            <w:r w:rsidRPr="00533E4E">
              <w:rPr>
                <w:color w:val="000000"/>
              </w:rPr>
              <w:t xml:space="preserve"> programmes on waste prevention and minimization and measuring their progress</w:t>
            </w:r>
            <w:r>
              <w:rPr>
                <w:color w:val="000000"/>
              </w:rPr>
              <w:t xml:space="preserve"> and on</w:t>
            </w:r>
            <w:r w:rsidRPr="00533E4E">
              <w:rPr>
                <w:color w:val="000000"/>
              </w:rPr>
              <w:t xml:space="preserve"> technology transfer and </w:t>
            </w:r>
            <w:proofErr w:type="spellStart"/>
            <w:r w:rsidRPr="00533E4E">
              <w:rPr>
                <w:color w:val="000000"/>
              </w:rPr>
              <w:t>capacity</w:t>
            </w:r>
            <w:r w:rsidRPr="00533E4E">
              <w:rPr>
                <w:color w:val="000000"/>
              </w:rPr>
              <w:noBreakHyphen/>
              <w:t>building</w:t>
            </w:r>
            <w:proofErr w:type="spellEnd"/>
            <w:r w:rsidRPr="00533E4E">
              <w:rPr>
                <w:color w:val="000000"/>
              </w:rPr>
              <w:t>.</w:t>
            </w:r>
            <w:r w:rsidRPr="00533E4E">
              <w:rPr>
                <w:rStyle w:val="FootnoteReference"/>
              </w:rPr>
              <w:footnoteReference w:id="1"/>
            </w:r>
            <w:r w:rsidRPr="00533E4E">
              <w:rPr>
                <w:color w:val="000000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5F8" w:rsidRPr="004B7F2A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Parties, signatories and others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 xml:space="preserve">Information request issued at COP-12 (decision) and information to be provided on an ongoing basis </w:t>
            </w:r>
          </w:p>
          <w:p w:rsidR="000B25F8" w:rsidRPr="00533E4E" w:rsidRDefault="000B25F8" w:rsidP="00A63D28">
            <w:pPr>
              <w:pStyle w:val="Normal-pool"/>
              <w:widowControl w:val="0"/>
              <w:spacing w:after="120"/>
            </w:pPr>
            <w:r w:rsidRPr="00533E4E">
              <w:rPr>
                <w:color w:val="000000"/>
              </w:rPr>
              <w:t>Prior to COP-</w:t>
            </w:r>
            <w:r>
              <w:rPr>
                <w:color w:val="000000"/>
              </w:rPr>
              <w:t>13</w:t>
            </w:r>
          </w:p>
        </w:tc>
      </w:tr>
      <w:tr w:rsidR="000B25F8" w:rsidRPr="009A2D39" w:rsidTr="00A63D28">
        <w:trPr>
          <w:trHeight w:val="1270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2. Secretariat to compile all relevant information provided by parties</w:t>
            </w:r>
            <w:r>
              <w:rPr>
                <w:color w:val="000000"/>
              </w:rPr>
              <w:t>, signatories and others</w:t>
            </w:r>
            <w:r w:rsidRPr="00533E4E">
              <w:rPr>
                <w:color w:val="000000"/>
              </w:rPr>
              <w:t xml:space="preserve"> with regard to the implementation of the Cartagena Declaration and make it available on the Basel Convention website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Secretariat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spacing w:after="120"/>
              <w:rPr>
                <w:color w:val="000000"/>
              </w:rPr>
            </w:pPr>
            <w:r w:rsidRPr="00533E4E">
              <w:t>Prior to COP-13</w:t>
            </w:r>
          </w:p>
        </w:tc>
      </w:tr>
      <w:tr w:rsidR="000B25F8" w:rsidRPr="009A2D39" w:rsidTr="00A63D28">
        <w:trPr>
          <w:trHeight w:val="757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8331A0" w:rsidRDefault="000B25F8" w:rsidP="00A63D28">
            <w:pPr>
              <w:pStyle w:val="Normal-pool"/>
              <w:keepNext/>
              <w:keepLines/>
              <w:widowControl w:val="0"/>
              <w:spacing w:after="120"/>
            </w:pPr>
            <w:r w:rsidRPr="008331A0">
              <w:t>Develop</w:t>
            </w:r>
            <w:r>
              <w:t xml:space="preserve">ment of </w:t>
            </w:r>
            <w:r w:rsidRPr="008331A0">
              <w:t xml:space="preserve">strategies (paragraph 1 of the Cartagena Declaration)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F8" w:rsidRPr="008331A0" w:rsidRDefault="000B25F8" w:rsidP="00A63D28">
            <w:pPr>
              <w:pStyle w:val="Normal-pool"/>
              <w:keepNext/>
              <w:keepLines/>
              <w:widowControl w:val="0"/>
              <w:spacing w:after="120"/>
              <w:rPr>
                <w:rFonts w:eastAsia="Batang"/>
                <w:lang w:eastAsia="ko-KR"/>
              </w:rPr>
            </w:pPr>
            <w:r w:rsidRPr="006D38B0">
              <w:rPr>
                <w:color w:val="000000"/>
              </w:rPr>
              <w:t>Develop guidance to assist parties, as appropriate, in developing efficient strategies to achieve the prevention and minimization of the generation of hazardous waste</w:t>
            </w:r>
            <w:r>
              <w:rPr>
                <w:color w:val="000000"/>
              </w:rPr>
              <w:t>s</w:t>
            </w:r>
            <w:r w:rsidRPr="006D38B0">
              <w:rPr>
                <w:color w:val="000000"/>
              </w:rPr>
              <w:t xml:space="preserve"> and other wastes and their disposal, taking into account the prevention manual developed by the </w:t>
            </w:r>
            <w:r>
              <w:rPr>
                <w:color w:val="000000"/>
              </w:rPr>
              <w:t>e</w:t>
            </w:r>
            <w:r w:rsidRPr="006D38B0">
              <w:rPr>
                <w:color w:val="000000"/>
              </w:rPr>
              <w:t xml:space="preserve">xpert </w:t>
            </w:r>
            <w:r>
              <w:rPr>
                <w:color w:val="000000"/>
              </w:rPr>
              <w:t>w</w:t>
            </w:r>
            <w:r w:rsidRPr="006D38B0">
              <w:rPr>
                <w:color w:val="000000"/>
              </w:rPr>
              <w:t xml:space="preserve">orking </w:t>
            </w:r>
            <w:r>
              <w:rPr>
                <w:color w:val="000000"/>
              </w:rPr>
              <w:t>g</w:t>
            </w:r>
            <w:r w:rsidRPr="006D38B0">
              <w:rPr>
                <w:color w:val="000000"/>
              </w:rPr>
              <w:t xml:space="preserve">roup on </w:t>
            </w:r>
            <w:r>
              <w:rPr>
                <w:color w:val="000000"/>
              </w:rPr>
              <w:t>e</w:t>
            </w:r>
            <w:r w:rsidRPr="006D38B0">
              <w:rPr>
                <w:color w:val="000000"/>
              </w:rPr>
              <w:t xml:space="preserve">nvironmentally </w:t>
            </w:r>
            <w:r>
              <w:rPr>
                <w:color w:val="000000"/>
              </w:rPr>
              <w:t>s</w:t>
            </w:r>
            <w:r w:rsidRPr="006D38B0">
              <w:rPr>
                <w:color w:val="000000"/>
              </w:rPr>
              <w:t xml:space="preserve">ound </w:t>
            </w:r>
            <w:r>
              <w:rPr>
                <w:color w:val="000000"/>
              </w:rPr>
              <w:t>m</w:t>
            </w:r>
            <w:r w:rsidRPr="006D38B0">
              <w:rPr>
                <w:color w:val="000000"/>
              </w:rPr>
              <w:t>anagement</w:t>
            </w:r>
            <w:r>
              <w:rPr>
                <w:color w:val="000000"/>
              </w:rPr>
              <w:t>.</w:t>
            </w:r>
          </w:p>
        </w:tc>
        <w:tc>
          <w:tcPr>
            <w:tcW w:w="1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F8" w:rsidRPr="008331A0" w:rsidRDefault="000B25F8" w:rsidP="00A63D28">
            <w:pPr>
              <w:pStyle w:val="Normal-pool"/>
              <w:keepNext/>
              <w:keepLines/>
              <w:widowControl w:val="0"/>
              <w:spacing w:after="120"/>
            </w:pPr>
            <w:r w:rsidRPr="006D38B0">
              <w:rPr>
                <w:color w:val="000000"/>
              </w:rPr>
              <w:t>Parties</w:t>
            </w:r>
            <w:r>
              <w:rPr>
                <w:color w:val="000000"/>
              </w:rPr>
              <w:t xml:space="preserve"> and e</w:t>
            </w:r>
            <w:r w:rsidRPr="006D38B0">
              <w:rPr>
                <w:color w:val="000000"/>
              </w:rPr>
              <w:t xml:space="preserve">xpert </w:t>
            </w:r>
            <w:r>
              <w:rPr>
                <w:color w:val="000000"/>
              </w:rPr>
              <w:t>w</w:t>
            </w:r>
            <w:r w:rsidRPr="006D38B0">
              <w:rPr>
                <w:color w:val="000000"/>
              </w:rPr>
              <w:t xml:space="preserve">orking </w:t>
            </w:r>
            <w:r>
              <w:rPr>
                <w:color w:val="000000"/>
              </w:rPr>
              <w:t>g</w:t>
            </w:r>
            <w:r w:rsidRPr="006D38B0">
              <w:rPr>
                <w:color w:val="000000"/>
              </w:rPr>
              <w:t xml:space="preserve">roup on </w:t>
            </w:r>
            <w:r>
              <w:rPr>
                <w:color w:val="000000"/>
              </w:rPr>
              <w:t>e</w:t>
            </w:r>
            <w:r w:rsidRPr="006D38B0">
              <w:rPr>
                <w:color w:val="000000"/>
              </w:rPr>
              <w:t xml:space="preserve">nvironmentally </w:t>
            </w:r>
            <w:r>
              <w:rPr>
                <w:color w:val="000000"/>
              </w:rPr>
              <w:t>s</w:t>
            </w:r>
            <w:r w:rsidRPr="006D38B0">
              <w:rPr>
                <w:color w:val="000000"/>
              </w:rPr>
              <w:t xml:space="preserve">ound </w:t>
            </w:r>
            <w:r>
              <w:rPr>
                <w:color w:val="000000"/>
              </w:rPr>
              <w:t>m</w:t>
            </w:r>
            <w:r w:rsidRPr="006D38B0">
              <w:rPr>
                <w:color w:val="000000"/>
              </w:rPr>
              <w:t>anagement/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i</w:t>
            </w:r>
            <w:r w:rsidRPr="006D38B0">
              <w:rPr>
                <w:color w:val="000000"/>
              </w:rPr>
              <w:t>ntersessional</w:t>
            </w:r>
            <w:proofErr w:type="spellEnd"/>
            <w:r w:rsidRPr="006D38B0">
              <w:rPr>
                <w:color w:val="000000"/>
              </w:rPr>
              <w:t xml:space="preserve"> working group </w:t>
            </w:r>
          </w:p>
        </w:tc>
        <w:tc>
          <w:tcPr>
            <w:tcW w:w="1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8331A0" w:rsidRDefault="000B25F8" w:rsidP="00A63D28">
            <w:pPr>
              <w:pStyle w:val="Normal-pool"/>
              <w:keepNext/>
              <w:keepLines/>
              <w:widowControl w:val="0"/>
              <w:spacing w:after="120"/>
            </w:pPr>
            <w:r w:rsidRPr="006D38B0">
              <w:rPr>
                <w:color w:val="000000"/>
              </w:rPr>
              <w:t>COP</w:t>
            </w:r>
            <w:r w:rsidRPr="008331A0">
              <w:t>-13</w:t>
            </w:r>
          </w:p>
        </w:tc>
      </w:tr>
      <w:tr w:rsidR="000B25F8" w:rsidRPr="009A2D39" w:rsidTr="00A63D28">
        <w:trPr>
          <w:trHeight w:val="2810"/>
        </w:trPr>
        <w:tc>
          <w:tcPr>
            <w:tcW w:w="162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</w:pPr>
            <w:r w:rsidRPr="00533E4E">
              <w:rPr>
                <w:color w:val="000000"/>
              </w:rPr>
              <w:t>Enhancement</w:t>
            </w:r>
            <w:r w:rsidRPr="00533E4E">
              <w:t xml:space="preserve"> of waste prevention (paragraphs 5,7, 8, 12 and 13 of the Cartagena Declaration)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Encourage:</w:t>
            </w:r>
          </w:p>
          <w:p w:rsidR="000B25F8" w:rsidRDefault="000B25F8" w:rsidP="000B25F8">
            <w:pPr>
              <w:pStyle w:val="Normal-pool"/>
              <w:widowControl w:val="0"/>
              <w:numPr>
                <w:ilvl w:val="0"/>
                <w:numId w:val="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357"/>
              </w:tabs>
              <w:spacing w:after="200"/>
              <w:ind w:left="340" w:hanging="340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533E4E">
              <w:rPr>
                <w:color w:val="000000"/>
              </w:rPr>
              <w:t xml:space="preserve">evelopment of synergistic national and regional pilot projects </w:t>
            </w:r>
            <w:r>
              <w:rPr>
                <w:color w:val="000000"/>
              </w:rPr>
              <w:t>on</w:t>
            </w:r>
            <w:r w:rsidRPr="00533E4E">
              <w:rPr>
                <w:color w:val="000000"/>
              </w:rPr>
              <w:t xml:space="preserve"> waste prevention for specific waste streams of concern;</w:t>
            </w:r>
          </w:p>
          <w:p w:rsidR="000B25F8" w:rsidRPr="004B7F2A" w:rsidRDefault="000B25F8" w:rsidP="000B25F8">
            <w:pPr>
              <w:pStyle w:val="Normal-pool"/>
              <w:widowControl w:val="0"/>
              <w:numPr>
                <w:ilvl w:val="0"/>
                <w:numId w:val="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357"/>
              </w:tabs>
              <w:spacing w:after="120"/>
              <w:ind w:left="340" w:hanging="340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Pr="00533E4E">
              <w:rPr>
                <w:color w:val="000000"/>
              </w:rPr>
              <w:t>mprovement of access to cleaner production methods a</w:t>
            </w:r>
            <w:r>
              <w:rPr>
                <w:color w:val="000000"/>
              </w:rPr>
              <w:t>nd</w:t>
            </w:r>
            <w:r w:rsidRPr="00533E4E">
              <w:rPr>
                <w:color w:val="000000"/>
              </w:rPr>
              <w:t xml:space="preserve"> to information on less hazardous substitutes for and alternatives to hazardous chemicals and materials; </w:t>
            </w:r>
          </w:p>
        </w:tc>
        <w:tc>
          <w:tcPr>
            <w:tcW w:w="189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B25F8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</w:p>
          <w:p w:rsidR="000B25F8" w:rsidRPr="004B7F2A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6D38B0">
              <w:rPr>
                <w:color w:val="000000"/>
              </w:rPr>
              <w:t>Parties</w:t>
            </w:r>
            <w:r>
              <w:rPr>
                <w:color w:val="000000"/>
              </w:rPr>
              <w:t xml:space="preserve">, </w:t>
            </w:r>
            <w:r w:rsidRPr="006D38B0">
              <w:rPr>
                <w:color w:val="000000"/>
              </w:rPr>
              <w:t>Basel Convention regional and coordinating centres</w:t>
            </w:r>
            <w:r>
              <w:rPr>
                <w:color w:val="000000"/>
              </w:rPr>
              <w:t>,</w:t>
            </w:r>
            <w:r w:rsidRPr="006D38B0">
              <w:rPr>
                <w:color w:val="000000"/>
              </w:rPr>
              <w:t xml:space="preserve"> Stockholm Convention regional and </w:t>
            </w:r>
            <w:proofErr w:type="spellStart"/>
            <w:r w:rsidRPr="006D38B0">
              <w:rPr>
                <w:color w:val="000000"/>
              </w:rPr>
              <w:t>subregional</w:t>
            </w:r>
            <w:proofErr w:type="spellEnd"/>
            <w:r w:rsidRPr="006D38B0">
              <w:rPr>
                <w:color w:val="000000"/>
              </w:rPr>
              <w:t xml:space="preserve"> centres</w:t>
            </w:r>
            <w:r w:rsidRPr="00533E4E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United Nations Industrial Development Organization</w:t>
            </w:r>
            <w:r w:rsidRPr="00533E4E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Global Environment Facility</w:t>
            </w:r>
            <w:r w:rsidRPr="00533E4E">
              <w:rPr>
                <w:color w:val="000000"/>
              </w:rPr>
              <w:t xml:space="preserve">, cleaner production centres </w:t>
            </w:r>
            <w:r w:rsidRPr="006D38B0">
              <w:rPr>
                <w:color w:val="000000"/>
              </w:rPr>
              <w:t xml:space="preserve">and </w:t>
            </w:r>
            <w:r>
              <w:rPr>
                <w:color w:val="000000"/>
              </w:rPr>
              <w:t xml:space="preserve">the </w:t>
            </w:r>
            <w:r w:rsidRPr="00533E4E">
              <w:rPr>
                <w:color w:val="000000"/>
              </w:rPr>
              <w:t>private sector</w:t>
            </w:r>
          </w:p>
          <w:p w:rsidR="000B25F8" w:rsidRPr="006D38B0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</w:p>
        </w:tc>
        <w:tc>
          <w:tcPr>
            <w:tcW w:w="16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B25F8" w:rsidRPr="008331A0" w:rsidRDefault="000B25F8" w:rsidP="00A63D28">
            <w:pPr>
              <w:pStyle w:val="Normal-pool"/>
              <w:widowControl w:val="0"/>
              <w:spacing w:after="120"/>
            </w:pPr>
            <w:r w:rsidRPr="00533E4E">
              <w:t>Ongoing</w:t>
            </w:r>
          </w:p>
        </w:tc>
      </w:tr>
      <w:tr w:rsidR="000B25F8" w:rsidRPr="009A2D39" w:rsidTr="00A63D28">
        <w:trPr>
          <w:trHeight w:val="1756"/>
        </w:trPr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25F8" w:rsidRPr="00533E4E" w:rsidRDefault="000B25F8" w:rsidP="000B25F8">
            <w:pPr>
              <w:pStyle w:val="Normal-pool"/>
              <w:widowControl w:val="0"/>
              <w:numPr>
                <w:ilvl w:val="0"/>
                <w:numId w:val="3"/>
              </w:numPr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  <w:tab w:val="left" w:pos="357"/>
              </w:tabs>
              <w:spacing w:after="120"/>
              <w:ind w:left="340" w:hanging="340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Pr="00533E4E">
              <w:rPr>
                <w:color w:val="000000"/>
              </w:rPr>
              <w:t>mplementation of waste prevention awareness campaigns that include information on waste prevention techniques.</w:t>
            </w:r>
          </w:p>
        </w:tc>
        <w:tc>
          <w:tcPr>
            <w:tcW w:w="18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B25F8" w:rsidRPr="006D38B0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533E4E">
              <w:rPr>
                <w:color w:val="000000"/>
              </w:rPr>
              <w:t>Parties</w:t>
            </w:r>
            <w:r w:rsidRPr="006D38B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6D38B0">
              <w:rPr>
                <w:color w:val="000000"/>
              </w:rPr>
              <w:t>Basel</w:t>
            </w:r>
            <w:r w:rsidRPr="006D38B0">
              <w:t xml:space="preserve"> Convention regional and coordinating centres</w:t>
            </w:r>
            <w:r>
              <w:t>,</w:t>
            </w:r>
            <w:r w:rsidRPr="006D38B0">
              <w:t xml:space="preserve"> Stockholm Convention regional and </w:t>
            </w:r>
            <w:proofErr w:type="spellStart"/>
            <w:r w:rsidRPr="006D38B0">
              <w:t>subregional</w:t>
            </w:r>
            <w:proofErr w:type="spellEnd"/>
            <w:r w:rsidRPr="006D38B0">
              <w:t xml:space="preserve"> centres </w:t>
            </w:r>
            <w:r w:rsidRPr="00533E4E">
              <w:rPr>
                <w:color w:val="000000"/>
              </w:rPr>
              <w:t xml:space="preserve">and </w:t>
            </w:r>
            <w:r w:rsidRPr="00077346">
              <w:rPr>
                <w:color w:val="000000"/>
              </w:rPr>
              <w:t>non</w:t>
            </w:r>
            <w:r>
              <w:rPr>
                <w:color w:val="000000"/>
              </w:rPr>
              <w:noBreakHyphen/>
            </w:r>
            <w:r w:rsidRPr="00077346">
              <w:rPr>
                <w:color w:val="000000"/>
              </w:rPr>
              <w:t>governmental organizations</w:t>
            </w:r>
          </w:p>
        </w:tc>
        <w:tc>
          <w:tcPr>
            <w:tcW w:w="16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</w:pPr>
          </w:p>
        </w:tc>
      </w:tr>
      <w:tr w:rsidR="000B25F8" w:rsidRPr="009A2D39" w:rsidTr="00A63D28">
        <w:trPr>
          <w:trHeight w:val="1119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6D38B0">
              <w:rPr>
                <w:color w:val="000000"/>
              </w:rPr>
              <w:t>Engagement with relevant stakeholders (paragraph 11 of the Cartagena Declaration)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533E4E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6D38B0">
              <w:rPr>
                <w:color w:val="000000"/>
              </w:rPr>
              <w:t>Encourage and facilitate, as appropriate, engagement with other bodies, non</w:t>
            </w:r>
            <w:r>
              <w:rPr>
                <w:color w:val="000000"/>
                <w:lang w:val="en-US"/>
              </w:rPr>
              <w:t>-</w:t>
            </w:r>
            <w:r w:rsidRPr="006D38B0">
              <w:rPr>
                <w:color w:val="000000"/>
              </w:rPr>
              <w:t xml:space="preserve">governmental organizations, </w:t>
            </w:r>
            <w:r>
              <w:rPr>
                <w:color w:val="000000"/>
              </w:rPr>
              <w:t>c</w:t>
            </w:r>
            <w:r w:rsidRPr="006D38B0">
              <w:rPr>
                <w:color w:val="000000"/>
              </w:rPr>
              <w:t xml:space="preserve">leaner </w:t>
            </w:r>
            <w:r>
              <w:rPr>
                <w:color w:val="000000"/>
              </w:rPr>
              <w:t>p</w:t>
            </w:r>
            <w:r w:rsidRPr="006D38B0">
              <w:rPr>
                <w:color w:val="000000"/>
              </w:rPr>
              <w:t xml:space="preserve">roduction </w:t>
            </w:r>
            <w:r>
              <w:rPr>
                <w:color w:val="000000"/>
              </w:rPr>
              <w:t>c</w:t>
            </w:r>
            <w:r w:rsidRPr="006D38B0">
              <w:rPr>
                <w:color w:val="000000"/>
              </w:rPr>
              <w:t xml:space="preserve">entres and the private sector to advance work on the prevention, minimization and recovery of hazardous wastes and other wastes and </w:t>
            </w:r>
            <w:r>
              <w:rPr>
                <w:color w:val="000000"/>
              </w:rPr>
              <w:t>to</w:t>
            </w:r>
            <w:r w:rsidRPr="006D38B0">
              <w:rPr>
                <w:color w:val="000000"/>
              </w:rPr>
              <w:t xml:space="preserve"> develop and implement projects, waste prevention </w:t>
            </w:r>
            <w:r w:rsidRPr="00533E4E">
              <w:rPr>
                <w:color w:val="000000"/>
              </w:rPr>
              <w:t xml:space="preserve">programmes and </w:t>
            </w:r>
            <w:r w:rsidRPr="00533E4E">
              <w:rPr>
                <w:color w:val="000000"/>
              </w:rPr>
              <w:lastRenderedPageBreak/>
              <w:t>partnerships to that end, taking into account the</w:t>
            </w:r>
            <w:r>
              <w:rPr>
                <w:color w:val="000000"/>
              </w:rPr>
              <w:t xml:space="preserve"> information</w:t>
            </w:r>
            <w:r w:rsidRPr="00533E4E">
              <w:rPr>
                <w:color w:val="000000"/>
              </w:rPr>
              <w:t xml:space="preserve"> compil</w:t>
            </w:r>
            <w:r>
              <w:rPr>
                <w:color w:val="000000"/>
              </w:rPr>
              <w:t>ed through</w:t>
            </w:r>
            <w:r w:rsidRPr="00533E4E">
              <w:rPr>
                <w:color w:val="000000"/>
              </w:rPr>
              <w:t xml:space="preserve"> the </w:t>
            </w:r>
            <w:proofErr w:type="spellStart"/>
            <w:r w:rsidRPr="00533E4E">
              <w:rPr>
                <w:color w:val="000000"/>
              </w:rPr>
              <w:t>information</w:t>
            </w:r>
            <w:r>
              <w:rPr>
                <w:color w:val="000000"/>
              </w:rPr>
              <w:noBreakHyphen/>
            </w:r>
            <w:r w:rsidRPr="00533E4E">
              <w:rPr>
                <w:color w:val="000000"/>
              </w:rPr>
              <w:t>gathering</w:t>
            </w:r>
            <w:proofErr w:type="spellEnd"/>
            <w:r w:rsidRPr="00533E4E">
              <w:rPr>
                <w:color w:val="000000"/>
              </w:rPr>
              <w:t xml:space="preserve"> activity</w:t>
            </w:r>
            <w:r w:rsidRPr="006D38B0">
              <w:rPr>
                <w:color w:val="000000"/>
              </w:rPr>
              <w:t xml:space="preserve">. </w:t>
            </w:r>
          </w:p>
        </w:tc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6D38B0" w:rsidRDefault="000B25F8" w:rsidP="00A63D28">
            <w:pPr>
              <w:pStyle w:val="Normal-pool"/>
              <w:widowControl w:val="0"/>
              <w:spacing w:after="120"/>
            </w:pPr>
            <w:r w:rsidRPr="006D38B0">
              <w:rPr>
                <w:color w:val="000000"/>
              </w:rPr>
              <w:lastRenderedPageBreak/>
              <w:t>Parties</w:t>
            </w:r>
            <w:r>
              <w:rPr>
                <w:color w:val="000000"/>
              </w:rPr>
              <w:t xml:space="preserve">, </w:t>
            </w:r>
            <w:r w:rsidRPr="006D38B0">
              <w:t xml:space="preserve">Basel Convention regional and coordinating centres and Stockholm Convention regional and </w:t>
            </w:r>
            <w:proofErr w:type="spellStart"/>
            <w:r w:rsidRPr="006D38B0">
              <w:t>subregional</w:t>
            </w:r>
            <w:proofErr w:type="spellEnd"/>
            <w:r w:rsidRPr="006D38B0">
              <w:t xml:space="preserve"> centres </w:t>
            </w:r>
          </w:p>
        </w:tc>
        <w:tc>
          <w:tcPr>
            <w:tcW w:w="16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25F8" w:rsidRPr="006D38B0" w:rsidRDefault="000B25F8" w:rsidP="00A63D28">
            <w:pPr>
              <w:pStyle w:val="Normal-pool"/>
              <w:widowControl w:val="0"/>
              <w:spacing w:after="120"/>
              <w:rPr>
                <w:color w:val="000000"/>
              </w:rPr>
            </w:pPr>
            <w:r w:rsidRPr="006D38B0">
              <w:rPr>
                <w:color w:val="000000"/>
              </w:rPr>
              <w:t>Ongoing</w:t>
            </w:r>
          </w:p>
        </w:tc>
      </w:tr>
    </w:tbl>
    <w:p w:rsidR="000B25F8" w:rsidRPr="008A7345" w:rsidRDefault="000B25F8" w:rsidP="000B25F8">
      <w:pPr>
        <w:pStyle w:val="Normal-pool"/>
        <w:ind w:left="1247"/>
        <w:rPr>
          <w:i/>
        </w:rPr>
      </w:pPr>
      <w:r>
        <w:rPr>
          <w:i/>
        </w:rPr>
        <w:lastRenderedPageBreak/>
        <w:t xml:space="preserve">Abbreviations: COP-12, twelfth meeting of the Conference of the Parties; COP-13, thirteenth meeting of the Conference of the Parties.  </w:t>
      </w:r>
    </w:p>
    <w:p w:rsidR="000B25F8" w:rsidRDefault="000B25F8" w:rsidP="00E3382D">
      <w:pPr>
        <w:pStyle w:val="NormalNo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ind w:left="1247" w:firstLine="624"/>
      </w:pPr>
    </w:p>
    <w:sectPr w:rsidR="000B25F8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8" w:rsidRDefault="000B25F8" w:rsidP="000B25F8">
      <w:r>
        <w:separator/>
      </w:r>
    </w:p>
  </w:endnote>
  <w:endnote w:type="continuationSeparator" w:id="0">
    <w:p w:rsidR="000B25F8" w:rsidRDefault="000B25F8" w:rsidP="000B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8" w:rsidRDefault="000B25F8" w:rsidP="000B25F8">
      <w:r>
        <w:separator/>
      </w:r>
    </w:p>
  </w:footnote>
  <w:footnote w:type="continuationSeparator" w:id="0">
    <w:p w:rsidR="000B25F8" w:rsidRDefault="000B25F8" w:rsidP="000B25F8">
      <w:r>
        <w:continuationSeparator/>
      </w:r>
    </w:p>
  </w:footnote>
  <w:footnote w:id="1">
    <w:p w:rsidR="000B25F8" w:rsidRPr="00533E4E" w:rsidRDefault="000B25F8" w:rsidP="000B25F8">
      <w:pPr>
        <w:pStyle w:val="FootnoteText"/>
        <w:rPr>
          <w:szCs w:val="18"/>
          <w:lang w:val="en-US"/>
        </w:rPr>
      </w:pPr>
      <w:r w:rsidRPr="000E141F">
        <w:rPr>
          <w:rStyle w:val="FootnoteReference"/>
        </w:rPr>
        <w:footnoteRef/>
      </w:r>
      <w:r w:rsidRPr="000E141F">
        <w:rPr>
          <w:szCs w:val="18"/>
        </w:rPr>
        <w:t xml:space="preserve"> </w:t>
      </w:r>
      <w:r w:rsidRPr="000E141F">
        <w:rPr>
          <w:szCs w:val="18"/>
          <w:lang w:val="en-US"/>
        </w:rPr>
        <w:t xml:space="preserve">cf. paragraphs 1, 4, 5, 7, 11 </w:t>
      </w:r>
      <w:r>
        <w:rPr>
          <w:szCs w:val="18"/>
          <w:lang w:val="en-US"/>
        </w:rPr>
        <w:t xml:space="preserve">and 12 </w:t>
      </w:r>
      <w:r w:rsidRPr="000E141F">
        <w:rPr>
          <w:szCs w:val="18"/>
          <w:lang w:val="en-US"/>
        </w:rPr>
        <w:t>of the Cartagena Declaration.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442DA"/>
    <w:multiLevelType w:val="hybridMultilevel"/>
    <w:tmpl w:val="ACA00756"/>
    <w:lvl w:ilvl="0" w:tplc="0B02D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37C56"/>
    <w:multiLevelType w:val="hybridMultilevel"/>
    <w:tmpl w:val="6E1ED5F8"/>
    <w:lvl w:ilvl="0" w:tplc="C9900F68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2">
    <w:nsid w:val="483A2339"/>
    <w:multiLevelType w:val="hybridMultilevel"/>
    <w:tmpl w:val="F1B662D0"/>
    <w:lvl w:ilvl="0" w:tplc="310267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2D"/>
    <w:rsid w:val="000B25F8"/>
    <w:rsid w:val="0035083F"/>
    <w:rsid w:val="00827715"/>
    <w:rsid w:val="00E3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E3382D"/>
    <w:pPr>
      <w:numPr>
        <w:numId w:val="1"/>
      </w:numPr>
      <w:spacing w:after="120"/>
    </w:pPr>
  </w:style>
  <w:style w:type="character" w:customStyle="1" w:styleId="Normal-poolChar">
    <w:name w:val="Normal-pool Char"/>
    <w:link w:val="Normal-pool"/>
    <w:locked/>
    <w:rsid w:val="00E338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B25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-pool"/>
    <w:link w:val="FootnoteTextChar"/>
    <w:rsid w:val="000B25F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0B25F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ZZAnxtitle">
    <w:name w:val="ZZ_Anx_title"/>
    <w:basedOn w:val="Normal-pool"/>
    <w:link w:val="ZZAnxtitleChar"/>
    <w:rsid w:val="000B25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ZZAnxtitleChar">
    <w:name w:val="ZZ_Anx_title Char"/>
    <w:link w:val="ZZAnxtitle"/>
    <w:rsid w:val="000B25F8"/>
    <w:rPr>
      <w:rFonts w:ascii="Times New Roman" w:eastAsia="Times New Roman" w:hAnsi="Times New Roman" w:cs="Times New Roman"/>
      <w:b/>
      <w:bCs/>
      <w:sz w:val="28"/>
      <w:szCs w:val="26"/>
      <w:lang w:val="en-GB"/>
    </w:rPr>
  </w:style>
  <w:style w:type="paragraph" w:customStyle="1" w:styleId="Subtitle">
    <w:name w:val="Sub title"/>
    <w:basedOn w:val="Heading2"/>
    <w:rsid w:val="000B25F8"/>
    <w:pPr>
      <w:keepLines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5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4047</Characters>
  <Application>Microsoft Office Word</Application>
  <DocSecurity>0</DocSecurity>
  <Lines>68</Lines>
  <Paragraphs>25</Paragraphs>
  <ScaleCrop>false</ScaleCrop>
  <Company>BRS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2015-09-04T14:09:00Z</dcterms:created>
  <dcterms:modified xsi:type="dcterms:W3CDTF">2015-09-04T14:09:00Z</dcterms:modified>
</cp:coreProperties>
</file>