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A5A" w:rsidRPr="00490B24" w:rsidRDefault="00D74A5A" w:rsidP="00D74A5A">
      <w:pPr>
        <w:pStyle w:val="Normal-pool"/>
        <w:tabs>
          <w:tab w:val="left" w:pos="624"/>
        </w:tabs>
        <w:spacing w:before="240" w:after="120"/>
        <w:ind w:left="1247"/>
        <w:rPr>
          <w:b/>
          <w:sz w:val="28"/>
          <w:szCs w:val="28"/>
          <w:lang w:val="es-ES"/>
        </w:rPr>
      </w:pPr>
      <w:r w:rsidRPr="00490B24">
        <w:rPr>
          <w:b/>
          <w:sz w:val="28"/>
          <w:szCs w:val="28"/>
          <w:lang w:val="es-ES"/>
        </w:rPr>
        <w:t>OEWG</w:t>
      </w:r>
      <w:r w:rsidRPr="00490B24">
        <w:rPr>
          <w:b/>
          <w:sz w:val="28"/>
          <w:szCs w:val="28"/>
          <w:lang w:val="es-ES"/>
        </w:rPr>
        <w:noBreakHyphen/>
        <w:t>9/1: Seguimiento de la Declaración de Cartagena sobre prevención, minimización y valorización de los desechos peligrosos y otros desechos</w:t>
      </w:r>
    </w:p>
    <w:p w:rsidR="00D74A5A" w:rsidRPr="00490B24" w:rsidRDefault="00D74A5A" w:rsidP="00D74A5A">
      <w:pPr>
        <w:pStyle w:val="NormalNonumber"/>
        <w:numPr>
          <w:ilvl w:val="0"/>
          <w:numId w:val="0"/>
        </w:numPr>
        <w:tabs>
          <w:tab w:val="clear" w:pos="1247"/>
          <w:tab w:val="clear" w:pos="1814"/>
          <w:tab w:val="clear" w:pos="2381"/>
          <w:tab w:val="clear" w:pos="2948"/>
          <w:tab w:val="clear" w:pos="3515"/>
          <w:tab w:val="left" w:pos="624"/>
        </w:tabs>
        <w:ind w:left="1247" w:firstLine="624"/>
        <w:rPr>
          <w:i/>
          <w:lang w:val="es-ES"/>
        </w:rPr>
      </w:pPr>
      <w:r w:rsidRPr="00490B24">
        <w:rPr>
          <w:i/>
          <w:lang w:val="es-ES"/>
        </w:rPr>
        <w:t>El Grupo de Trabajo de composición abierta</w:t>
      </w:r>
    </w:p>
    <w:p w:rsidR="00D74A5A" w:rsidRPr="00490B24" w:rsidRDefault="00D74A5A" w:rsidP="00D74A5A">
      <w:pPr>
        <w:pStyle w:val="NormalNonumber"/>
        <w:numPr>
          <w:ilvl w:val="0"/>
          <w:numId w:val="0"/>
        </w:numPr>
        <w:tabs>
          <w:tab w:val="clear" w:pos="1247"/>
          <w:tab w:val="clear" w:pos="1814"/>
          <w:tab w:val="clear" w:pos="2381"/>
          <w:tab w:val="clear" w:pos="2948"/>
          <w:tab w:val="clear" w:pos="3515"/>
          <w:tab w:val="left" w:pos="624"/>
        </w:tabs>
        <w:ind w:left="1247" w:firstLine="624"/>
        <w:rPr>
          <w:lang w:val="es-ES"/>
        </w:rPr>
      </w:pPr>
      <w:r w:rsidRPr="00490B24">
        <w:rPr>
          <w:lang w:val="es-ES"/>
        </w:rPr>
        <w:t>1.</w:t>
      </w:r>
      <w:r w:rsidRPr="00490B24">
        <w:rPr>
          <w:i/>
          <w:lang w:val="es-ES"/>
        </w:rPr>
        <w:tab/>
        <w:t xml:space="preserve">Toma nota </w:t>
      </w:r>
      <w:r w:rsidRPr="00490B24">
        <w:rPr>
          <w:lang w:val="es-ES"/>
        </w:rPr>
        <w:t xml:space="preserve">de la solicitud formulada por la Conferencia de las Partes en su 11ª reunión de que el Grupo de Trabajo elabore una hoja de ruta para la adopción de medidas y examine los progresos logrados por las Partes en la aplicación de la Declaración de Cartagena sobre prevención, minimización y valoración de los desechos peligrosos y otros desechos; </w:t>
      </w:r>
    </w:p>
    <w:p w:rsidR="00D74A5A" w:rsidRPr="00490B24" w:rsidRDefault="00D74A5A" w:rsidP="00D74A5A">
      <w:pPr>
        <w:pStyle w:val="NormalNonumber"/>
        <w:numPr>
          <w:ilvl w:val="0"/>
          <w:numId w:val="0"/>
        </w:numPr>
        <w:tabs>
          <w:tab w:val="clear" w:pos="1247"/>
          <w:tab w:val="clear" w:pos="1814"/>
          <w:tab w:val="clear" w:pos="2381"/>
          <w:tab w:val="clear" w:pos="2948"/>
          <w:tab w:val="clear" w:pos="3515"/>
          <w:tab w:val="left" w:pos="624"/>
        </w:tabs>
        <w:ind w:left="1247" w:firstLine="624"/>
        <w:rPr>
          <w:color w:val="000000"/>
          <w:lang w:val="es-ES"/>
        </w:rPr>
      </w:pPr>
      <w:r w:rsidRPr="00490B24">
        <w:rPr>
          <w:color w:val="000000"/>
          <w:lang w:val="es-ES"/>
        </w:rPr>
        <w:t>2.</w:t>
      </w:r>
      <w:r w:rsidRPr="00490B24">
        <w:rPr>
          <w:color w:val="000000"/>
          <w:lang w:val="es-ES"/>
        </w:rPr>
        <w:tab/>
      </w:r>
      <w:r w:rsidRPr="00490B24">
        <w:rPr>
          <w:i/>
          <w:lang w:val="es-ES"/>
        </w:rPr>
        <w:t xml:space="preserve">Recomienda </w:t>
      </w:r>
      <w:r w:rsidRPr="00490B24">
        <w:rPr>
          <w:lang w:val="es-ES"/>
        </w:rPr>
        <w:t>que la Conferencia de las Partes, en su 12ª reunión, apruebe la hoja de ruta para la adopción de medidas respecto de la aplicación de la Declaración de Cartagena que figura en el anexo de la presente decisión;</w:t>
      </w:r>
    </w:p>
    <w:p w:rsidR="00D74A5A" w:rsidRDefault="00D74A5A" w:rsidP="00D74A5A">
      <w:pPr>
        <w:pStyle w:val="NormalNonumber"/>
        <w:numPr>
          <w:ilvl w:val="0"/>
          <w:numId w:val="0"/>
        </w:numPr>
        <w:tabs>
          <w:tab w:val="clear" w:pos="1247"/>
          <w:tab w:val="clear" w:pos="1814"/>
          <w:tab w:val="clear" w:pos="2381"/>
          <w:tab w:val="clear" w:pos="2948"/>
          <w:tab w:val="clear" w:pos="3515"/>
          <w:tab w:val="left" w:pos="624"/>
        </w:tabs>
        <w:ind w:left="1247" w:firstLine="624"/>
        <w:rPr>
          <w:color w:val="000000"/>
          <w:lang w:val="es-ES"/>
        </w:rPr>
      </w:pPr>
      <w:r w:rsidRPr="00490B24">
        <w:rPr>
          <w:color w:val="000000"/>
          <w:lang w:val="es-ES"/>
        </w:rPr>
        <w:t>3.</w:t>
      </w:r>
      <w:r w:rsidRPr="00490B24">
        <w:rPr>
          <w:color w:val="000000"/>
          <w:lang w:val="es-ES"/>
        </w:rPr>
        <w:tab/>
      </w:r>
      <w:r w:rsidRPr="00490B24">
        <w:rPr>
          <w:i/>
          <w:color w:val="000000"/>
          <w:lang w:val="es-ES"/>
        </w:rPr>
        <w:t xml:space="preserve">Recomienda también </w:t>
      </w:r>
      <w:r w:rsidRPr="00490B24">
        <w:rPr>
          <w:color w:val="000000"/>
          <w:lang w:val="es-ES"/>
        </w:rPr>
        <w:t>que la Conferencia de las Partes, en su 12ª reunión, otorgue al grupo de trabajo de expertos sobre gestión ambientalmente racional o a un nuevo grupo entre reuniones el mandato de elaborar orientaciones que ayuden a las Partes a preparar estrategias eficientes para prevenir y minimizar la generación de desechos pel</w:t>
      </w:r>
      <w:r>
        <w:rPr>
          <w:color w:val="000000"/>
          <w:lang w:val="es-ES"/>
        </w:rPr>
        <w:t>igrosos y otros desechos, y que </w:t>
      </w:r>
      <w:r w:rsidRPr="00490B24">
        <w:rPr>
          <w:color w:val="000000"/>
          <w:lang w:val="es-ES"/>
        </w:rPr>
        <w:t>invite a uno de los países del grupo a actuar como encargado pri</w:t>
      </w:r>
      <w:r>
        <w:rPr>
          <w:color w:val="000000"/>
          <w:lang w:val="es-ES"/>
        </w:rPr>
        <w:t>ncipal de la elaboración de las </w:t>
      </w:r>
      <w:r w:rsidRPr="00490B24">
        <w:rPr>
          <w:color w:val="000000"/>
          <w:lang w:val="es-ES"/>
        </w:rPr>
        <w:t xml:space="preserve">orientaciones. </w:t>
      </w:r>
    </w:p>
    <w:p w:rsidR="007833B5" w:rsidRPr="007833B5" w:rsidRDefault="007833B5" w:rsidP="007833B5">
      <w:pPr>
        <w:tabs>
          <w:tab w:val="left" w:pos="1247"/>
          <w:tab w:val="left" w:pos="1276"/>
          <w:tab w:val="left" w:pos="1871"/>
          <w:tab w:val="left" w:pos="2495"/>
        </w:tabs>
        <w:spacing w:before="240" w:after="240" w:line="240" w:lineRule="auto"/>
        <w:ind w:left="1276"/>
        <w:outlineLvl w:val="1"/>
        <w:rPr>
          <w:rFonts w:ascii="Times New Roman" w:eastAsia="Times New Roman" w:hAnsi="Times New Roman" w:cs="Times New Roman"/>
          <w:b/>
          <w:sz w:val="28"/>
          <w:szCs w:val="28"/>
          <w:lang w:val="es-ES"/>
        </w:rPr>
      </w:pPr>
      <w:r w:rsidRPr="007833B5">
        <w:rPr>
          <w:rFonts w:ascii="Times New Roman" w:eastAsia="Times New Roman" w:hAnsi="Times New Roman" w:cs="Times New Roman"/>
          <w:b/>
          <w:sz w:val="28"/>
          <w:szCs w:val="28"/>
          <w:lang w:val="es-ES"/>
        </w:rPr>
        <w:t>Anexo de la decisión OEWG</w:t>
      </w:r>
      <w:r w:rsidRPr="007833B5">
        <w:rPr>
          <w:rFonts w:ascii="Times New Roman" w:eastAsia="Times New Roman" w:hAnsi="Times New Roman" w:cs="Times New Roman"/>
          <w:b/>
          <w:sz w:val="28"/>
          <w:szCs w:val="28"/>
          <w:lang w:val="es-ES"/>
        </w:rPr>
        <w:noBreakHyphen/>
        <w:t>9/1</w:t>
      </w:r>
    </w:p>
    <w:p w:rsidR="007833B5" w:rsidRPr="007833B5" w:rsidRDefault="007833B5" w:rsidP="007833B5">
      <w:pPr>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b/>
          <w:bCs/>
          <w:color w:val="000000"/>
          <w:sz w:val="28"/>
          <w:szCs w:val="26"/>
          <w:lang w:val="es-ES"/>
        </w:rPr>
      </w:pPr>
      <w:r w:rsidRPr="007833B5">
        <w:rPr>
          <w:rFonts w:ascii="Times New Roman" w:eastAsia="Times New Roman" w:hAnsi="Times New Roman" w:cs="Times New Roman"/>
          <w:b/>
          <w:bCs/>
          <w:color w:val="000000"/>
          <w:sz w:val="28"/>
          <w:szCs w:val="26"/>
          <w:lang w:val="es-ES"/>
        </w:rPr>
        <w:t xml:space="preserve">Hoja de ruta para la adopción de medidas respecto de la aplicación de la Declaración de Cartagena </w:t>
      </w:r>
    </w:p>
    <w:p w:rsidR="007833B5" w:rsidRPr="007833B5" w:rsidRDefault="007833B5" w:rsidP="007833B5">
      <w:pPr>
        <w:numPr>
          <w:ilvl w:val="0"/>
          <w:numId w:val="3"/>
        </w:numPr>
        <w:tabs>
          <w:tab w:val="left" w:pos="624"/>
          <w:tab w:val="left" w:pos="1247"/>
          <w:tab w:val="left" w:pos="1814"/>
          <w:tab w:val="left" w:pos="2381"/>
          <w:tab w:val="left" w:pos="2948"/>
          <w:tab w:val="left" w:pos="3515"/>
        </w:tabs>
        <w:spacing w:after="120" w:line="240" w:lineRule="auto"/>
        <w:ind w:left="1247" w:firstLine="624"/>
        <w:rPr>
          <w:rFonts w:ascii="Times New Roman" w:eastAsia="Times New Roman" w:hAnsi="Times New Roman" w:cs="Times New Roman"/>
          <w:sz w:val="20"/>
          <w:szCs w:val="20"/>
          <w:lang w:val="es-ES"/>
        </w:rPr>
      </w:pPr>
      <w:r w:rsidRPr="007833B5">
        <w:rPr>
          <w:rFonts w:ascii="Times New Roman" w:eastAsia="Times New Roman" w:hAnsi="Times New Roman" w:cs="Times New Roman"/>
          <w:sz w:val="20"/>
          <w:szCs w:val="20"/>
          <w:lang w:val="es-ES"/>
        </w:rPr>
        <w:t>La hoja de ruta para la adopción de medidas respecto de la aplicación de la Declaración de Cartagena que figura en el cuadro siguiente contribuye al logro de los objetivos fundamentales del marco estratégico para la aplicación del Convenio de Basilea para 2012</w:t>
      </w:r>
      <w:r w:rsidRPr="007833B5">
        <w:rPr>
          <w:rFonts w:ascii="Times New Roman" w:eastAsia="Times New Roman" w:hAnsi="Times New Roman" w:cs="Times New Roman"/>
          <w:sz w:val="20"/>
          <w:szCs w:val="20"/>
          <w:lang w:val="es-ES"/>
        </w:rPr>
        <w:noBreakHyphen/>
        <w:t xml:space="preserve">2021. </w:t>
      </w:r>
    </w:p>
    <w:p w:rsidR="007833B5" w:rsidRPr="007833B5" w:rsidRDefault="007833B5" w:rsidP="007833B5">
      <w:pPr>
        <w:numPr>
          <w:ilvl w:val="0"/>
          <w:numId w:val="3"/>
        </w:numPr>
        <w:tabs>
          <w:tab w:val="left" w:pos="624"/>
          <w:tab w:val="left" w:pos="1247"/>
          <w:tab w:val="left" w:pos="1814"/>
          <w:tab w:val="left" w:pos="2381"/>
          <w:tab w:val="left" w:pos="2948"/>
          <w:tab w:val="left" w:pos="3515"/>
        </w:tabs>
        <w:spacing w:after="120" w:line="240" w:lineRule="auto"/>
        <w:ind w:left="1247" w:firstLine="624"/>
        <w:rPr>
          <w:rFonts w:ascii="Times New Roman" w:eastAsia="Times New Roman" w:hAnsi="Times New Roman" w:cs="Times New Roman"/>
          <w:sz w:val="20"/>
          <w:szCs w:val="20"/>
          <w:lang w:val="es-ES"/>
        </w:rPr>
      </w:pPr>
      <w:r w:rsidRPr="007833B5">
        <w:rPr>
          <w:rFonts w:ascii="Times New Roman" w:eastAsia="Times New Roman" w:hAnsi="Times New Roman" w:cs="Times New Roman"/>
          <w:sz w:val="20"/>
          <w:szCs w:val="20"/>
          <w:lang w:val="es-ES"/>
        </w:rPr>
        <w:t>Las actividades de recopilación de información que figuran en la hoja de ruta pueden ayudar a las Partes y otros interesados a determinar actividades específicas para aplicar la Declaración de Cartagena. Estas actividades se prepararán y ejecutarán en cooperación con las iniciativas pertinentes emprendidas bajo los auspicios del Convenio de Basilea y otras entidades, como el grupo de trabajo de expertos sobre la gestión ambientalmente racional, y con su apoyo.</w:t>
      </w:r>
    </w:p>
    <w:tbl>
      <w:tblPr>
        <w:tblW w:w="8546" w:type="dxa"/>
        <w:tblInd w:w="1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4"/>
        <w:gridCol w:w="3684"/>
        <w:gridCol w:w="1843"/>
        <w:gridCol w:w="1605"/>
      </w:tblGrid>
      <w:tr w:rsidR="007833B5" w:rsidRPr="007833B5" w:rsidTr="002D2385">
        <w:trPr>
          <w:tblHeader/>
        </w:trPr>
        <w:tc>
          <w:tcPr>
            <w:tcW w:w="1414" w:type="dxa"/>
            <w:tcBorders>
              <w:top w:val="single" w:sz="4" w:space="0" w:color="auto"/>
              <w:left w:val="single" w:sz="4" w:space="0" w:color="auto"/>
              <w:bottom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i/>
                <w:sz w:val="20"/>
                <w:szCs w:val="20"/>
                <w:lang w:val="es-ES"/>
              </w:rPr>
            </w:pPr>
            <w:r w:rsidRPr="007833B5">
              <w:rPr>
                <w:rFonts w:ascii="Times New Roman" w:eastAsia="Times New Roman" w:hAnsi="Times New Roman" w:cs="Times New Roman"/>
                <w:color w:val="000000"/>
                <w:sz w:val="20"/>
                <w:szCs w:val="20"/>
                <w:lang w:val="es-ES"/>
              </w:rPr>
              <w:br w:type="page"/>
            </w:r>
            <w:r w:rsidRPr="007833B5">
              <w:rPr>
                <w:rFonts w:ascii="Times New Roman" w:eastAsia="Times New Roman" w:hAnsi="Times New Roman" w:cs="Times New Roman"/>
                <w:b/>
                <w:sz w:val="20"/>
                <w:szCs w:val="20"/>
                <w:lang w:val="es-ES"/>
              </w:rPr>
              <w:br w:type="page"/>
            </w:r>
            <w:r w:rsidRPr="007833B5">
              <w:rPr>
                <w:rFonts w:ascii="Times New Roman" w:eastAsia="Batang" w:hAnsi="Times New Roman" w:cs="Times New Roman"/>
                <w:i/>
                <w:sz w:val="20"/>
                <w:szCs w:val="20"/>
                <w:lang w:val="es-ES"/>
              </w:rPr>
              <w:t>Esferas de acción</w:t>
            </w:r>
          </w:p>
        </w:tc>
        <w:tc>
          <w:tcPr>
            <w:tcW w:w="3684" w:type="dxa"/>
            <w:tcBorders>
              <w:top w:val="single" w:sz="4" w:space="0" w:color="auto"/>
              <w:left w:val="single" w:sz="4" w:space="0" w:color="auto"/>
              <w:bottom w:val="single" w:sz="4" w:space="0" w:color="auto"/>
              <w:right w:val="single" w:sz="4" w:space="0" w:color="auto"/>
            </w:tcBorders>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Batang" w:hAnsi="Times New Roman" w:cs="Times New Roman"/>
                <w:i/>
                <w:sz w:val="20"/>
                <w:szCs w:val="20"/>
                <w:lang w:val="es-ES"/>
              </w:rPr>
            </w:pPr>
            <w:r w:rsidRPr="007833B5">
              <w:rPr>
                <w:rFonts w:ascii="Times New Roman" w:eastAsia="Batang" w:hAnsi="Times New Roman" w:cs="Times New Roman"/>
                <w:i/>
                <w:sz w:val="20"/>
                <w:szCs w:val="20"/>
                <w:lang w:val="es-ES"/>
              </w:rPr>
              <w:t>Actividades</w:t>
            </w:r>
          </w:p>
        </w:tc>
        <w:tc>
          <w:tcPr>
            <w:tcW w:w="1843" w:type="dxa"/>
            <w:tcBorders>
              <w:top w:val="single" w:sz="4" w:space="0" w:color="auto"/>
              <w:left w:val="single" w:sz="4" w:space="0" w:color="auto"/>
              <w:bottom w:val="single" w:sz="4" w:space="0" w:color="auto"/>
              <w:right w:val="single" w:sz="4" w:space="0" w:color="auto"/>
            </w:tcBorders>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i/>
                <w:sz w:val="20"/>
                <w:szCs w:val="20"/>
                <w:lang w:val="es-ES"/>
              </w:rPr>
            </w:pPr>
            <w:r w:rsidRPr="007833B5">
              <w:rPr>
                <w:rFonts w:ascii="Times New Roman" w:eastAsia="Times New Roman" w:hAnsi="Times New Roman" w:cs="Times New Roman"/>
                <w:i/>
                <w:sz w:val="20"/>
                <w:szCs w:val="20"/>
                <w:lang w:val="es-ES"/>
              </w:rPr>
              <w:t>Agentes responsables</w:t>
            </w:r>
          </w:p>
        </w:tc>
        <w:tc>
          <w:tcPr>
            <w:tcW w:w="1605" w:type="dxa"/>
            <w:tcBorders>
              <w:top w:val="single" w:sz="4" w:space="0" w:color="auto"/>
              <w:left w:val="single" w:sz="4" w:space="0" w:color="auto"/>
              <w:bottom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i/>
                <w:sz w:val="20"/>
                <w:szCs w:val="20"/>
                <w:lang w:val="es-ES"/>
              </w:rPr>
            </w:pPr>
            <w:r w:rsidRPr="007833B5">
              <w:rPr>
                <w:rFonts w:ascii="Times New Roman" w:eastAsia="Times New Roman" w:hAnsi="Times New Roman" w:cs="Times New Roman"/>
                <w:i/>
                <w:sz w:val="20"/>
                <w:szCs w:val="20"/>
                <w:lang w:val="es-ES"/>
              </w:rPr>
              <w:t>Calendario</w:t>
            </w:r>
          </w:p>
        </w:tc>
      </w:tr>
      <w:tr w:rsidR="007833B5" w:rsidRPr="007833B5" w:rsidTr="002D2385">
        <w:tc>
          <w:tcPr>
            <w:tcW w:w="1414" w:type="dxa"/>
            <w:vMerge w:val="restart"/>
            <w:tcBorders>
              <w:top w:val="single" w:sz="4" w:space="0" w:color="auto"/>
              <w:left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Recopilación de información</w:t>
            </w:r>
          </w:p>
        </w:tc>
        <w:tc>
          <w:tcPr>
            <w:tcW w:w="3684" w:type="dxa"/>
            <w:tcBorders>
              <w:top w:val="single" w:sz="4" w:space="0" w:color="auto"/>
              <w:left w:val="single" w:sz="4" w:space="0" w:color="auto"/>
              <w:bottom w:val="nil"/>
              <w:right w:val="single" w:sz="4" w:space="0" w:color="auto"/>
            </w:tcBorders>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1. Presentación a la Secretaría de información sobre experiencias en la aplicación de la Declaración de Cartagena, como información relativa a estrategias y programas sobre prevención y minimización de desechos y cuantificación de los progresos logrados, y sobre transferencia de tecnología y fomento de la capacidad</w:t>
            </w:r>
            <w:r w:rsidRPr="007833B5">
              <w:rPr>
                <w:rFonts w:ascii="Times New Roman" w:eastAsia="Times New Roman" w:hAnsi="Times New Roman" w:cs="Times New Roman"/>
                <w:sz w:val="20"/>
                <w:szCs w:val="18"/>
                <w:vertAlign w:val="superscript"/>
                <w:lang w:val="es-ES"/>
              </w:rPr>
              <w:footnoteReference w:id="1"/>
            </w:r>
            <w:r w:rsidRPr="007833B5">
              <w:rPr>
                <w:rFonts w:ascii="Times New Roman" w:eastAsia="Times New Roman" w:hAnsi="Times New Roman" w:cs="Times New Roman"/>
                <w:color w:val="000000"/>
                <w:sz w:val="20"/>
                <w:szCs w:val="20"/>
                <w:lang w:val="es-ES"/>
              </w:rPr>
              <w:t xml:space="preserve">. </w:t>
            </w:r>
          </w:p>
        </w:tc>
        <w:tc>
          <w:tcPr>
            <w:tcW w:w="1843" w:type="dxa"/>
            <w:tcBorders>
              <w:top w:val="single" w:sz="4" w:space="0" w:color="auto"/>
              <w:left w:val="single" w:sz="4" w:space="0" w:color="auto"/>
              <w:bottom w:val="nil"/>
              <w:right w:val="single" w:sz="4" w:space="0" w:color="auto"/>
            </w:tcBorders>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Partes, signatarios y otros interesados</w:t>
            </w:r>
          </w:p>
        </w:tc>
        <w:tc>
          <w:tcPr>
            <w:tcW w:w="1605" w:type="dxa"/>
            <w:tcBorders>
              <w:top w:val="single" w:sz="4" w:space="0" w:color="auto"/>
              <w:left w:val="single" w:sz="4" w:space="0" w:color="auto"/>
              <w:bottom w:val="nil"/>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 xml:space="preserve">La solicitud de información se formuló en la 12ª Reunión de la Conferencia de las Partes (decisión) y la información se suministrará de forma continua </w:t>
            </w:r>
          </w:p>
          <w:p w:rsidR="007833B5" w:rsidRPr="007833B5" w:rsidRDefault="007833B5" w:rsidP="007833B5">
            <w:pPr>
              <w:widowControl w:val="0"/>
              <w:tabs>
                <w:tab w:val="left" w:pos="1247"/>
                <w:tab w:val="left" w:pos="1814"/>
                <w:tab w:val="left" w:pos="2381"/>
                <w:tab w:val="left" w:pos="2948"/>
                <w:tab w:val="left" w:pos="3515"/>
              </w:tabs>
              <w:spacing w:after="360" w:line="240" w:lineRule="auto"/>
              <w:rPr>
                <w:rFonts w:ascii="Times New Roman" w:eastAsia="Times New Roman" w:hAnsi="Times New Roman" w:cs="Times New Roman"/>
                <w:sz w:val="20"/>
                <w:szCs w:val="20"/>
                <w:lang w:val="es-ES"/>
              </w:rPr>
            </w:pPr>
            <w:r w:rsidRPr="007833B5">
              <w:rPr>
                <w:rFonts w:ascii="Times New Roman" w:eastAsia="Times New Roman" w:hAnsi="Times New Roman" w:cs="Times New Roman"/>
                <w:color w:val="000000"/>
                <w:sz w:val="20"/>
                <w:szCs w:val="20"/>
                <w:lang w:val="es-ES"/>
              </w:rPr>
              <w:t xml:space="preserve">Antes de la 13ª Reunión de la Conferencia de </w:t>
            </w:r>
            <w:r w:rsidRPr="007833B5">
              <w:rPr>
                <w:rFonts w:ascii="Times New Roman" w:eastAsia="Times New Roman" w:hAnsi="Times New Roman" w:cs="Times New Roman"/>
                <w:color w:val="000000"/>
                <w:sz w:val="20"/>
                <w:szCs w:val="20"/>
                <w:lang w:val="es-ES"/>
              </w:rPr>
              <w:lastRenderedPageBreak/>
              <w:t>las Partes</w:t>
            </w:r>
          </w:p>
        </w:tc>
      </w:tr>
      <w:tr w:rsidR="007833B5" w:rsidRPr="007833B5" w:rsidTr="002D2385">
        <w:tc>
          <w:tcPr>
            <w:tcW w:w="1414" w:type="dxa"/>
            <w:vMerge/>
            <w:tcBorders>
              <w:left w:val="single" w:sz="4" w:space="0" w:color="auto"/>
              <w:bottom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p>
        </w:tc>
        <w:tc>
          <w:tcPr>
            <w:tcW w:w="3684" w:type="dxa"/>
            <w:tcBorders>
              <w:top w:val="nil"/>
              <w:left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2. Recopilación por la Secretaría de toda la información pertinente suministrada por las Partes, los signatarios y otros interesados respecto de la aplicación de la Declaración de Cartagena y publicación en el sitio web del Convenio de Basilea.</w:t>
            </w:r>
          </w:p>
        </w:tc>
        <w:tc>
          <w:tcPr>
            <w:tcW w:w="1843" w:type="dxa"/>
            <w:tcBorders>
              <w:top w:val="nil"/>
              <w:left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Secretaría</w:t>
            </w:r>
          </w:p>
        </w:tc>
        <w:tc>
          <w:tcPr>
            <w:tcW w:w="1605" w:type="dxa"/>
            <w:tcBorders>
              <w:top w:val="nil"/>
              <w:left w:val="single" w:sz="4" w:space="0" w:color="auto"/>
              <w:bottom w:val="single" w:sz="4" w:space="0" w:color="auto"/>
              <w:right w:val="single" w:sz="4" w:space="0" w:color="auto"/>
            </w:tcBorders>
            <w:shd w:val="clear" w:color="auto" w:fill="auto"/>
          </w:tcPr>
          <w:p w:rsidR="007833B5" w:rsidRPr="007833B5" w:rsidRDefault="007833B5" w:rsidP="007833B5">
            <w:pPr>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sz w:val="20"/>
                <w:szCs w:val="20"/>
                <w:lang w:val="es-ES"/>
              </w:rPr>
              <w:t>Antes de la 13ª Reunión de la Conferencia de las Partes</w:t>
            </w:r>
          </w:p>
        </w:tc>
      </w:tr>
      <w:tr w:rsidR="007833B5" w:rsidRPr="007833B5" w:rsidTr="002D2385">
        <w:tc>
          <w:tcPr>
            <w:tcW w:w="1414" w:type="dxa"/>
            <w:tcBorders>
              <w:left w:val="single" w:sz="4" w:space="0" w:color="auto"/>
              <w:right w:val="single" w:sz="4" w:space="0" w:color="auto"/>
            </w:tcBorders>
            <w:shd w:val="clear" w:color="auto" w:fill="auto"/>
          </w:tcPr>
          <w:p w:rsidR="007833B5" w:rsidRPr="007833B5" w:rsidRDefault="007833B5" w:rsidP="007833B5">
            <w:pPr>
              <w:keepNext/>
              <w:keepLines/>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sz w:val="20"/>
                <w:szCs w:val="20"/>
                <w:lang w:val="es-ES"/>
              </w:rPr>
            </w:pPr>
            <w:r w:rsidRPr="007833B5">
              <w:rPr>
                <w:rFonts w:ascii="Times New Roman" w:eastAsia="Times New Roman" w:hAnsi="Times New Roman" w:cs="Times New Roman"/>
                <w:sz w:val="20"/>
                <w:szCs w:val="20"/>
                <w:lang w:val="es-ES"/>
              </w:rPr>
              <w:t>Elaboración de estrategias (párrafo 1 de la Declaración de Cartagena)</w:t>
            </w:r>
          </w:p>
        </w:tc>
        <w:tc>
          <w:tcPr>
            <w:tcW w:w="3684" w:type="dxa"/>
            <w:tcBorders>
              <w:top w:val="single" w:sz="4" w:space="0" w:color="auto"/>
              <w:left w:val="single" w:sz="4" w:space="0" w:color="auto"/>
              <w:bottom w:val="single" w:sz="4" w:space="0" w:color="auto"/>
              <w:right w:val="single" w:sz="4" w:space="0" w:color="auto"/>
            </w:tcBorders>
          </w:tcPr>
          <w:p w:rsidR="007833B5" w:rsidRPr="007833B5" w:rsidRDefault="007833B5" w:rsidP="007833B5">
            <w:pPr>
              <w:keepNext/>
              <w:keepLines/>
              <w:widowControl w:val="0"/>
              <w:tabs>
                <w:tab w:val="left" w:pos="1247"/>
                <w:tab w:val="left" w:pos="1814"/>
                <w:tab w:val="left" w:pos="2381"/>
                <w:tab w:val="left" w:pos="2948"/>
                <w:tab w:val="left" w:pos="3515"/>
              </w:tabs>
              <w:spacing w:after="120" w:line="240" w:lineRule="auto"/>
              <w:rPr>
                <w:rFonts w:ascii="Times New Roman" w:eastAsia="Batang" w:hAnsi="Times New Roman" w:cs="Times New Roman"/>
                <w:sz w:val="20"/>
                <w:szCs w:val="20"/>
                <w:lang w:val="es-ES"/>
              </w:rPr>
            </w:pPr>
            <w:r w:rsidRPr="007833B5">
              <w:rPr>
                <w:rFonts w:ascii="Times New Roman" w:eastAsia="Times New Roman" w:hAnsi="Times New Roman" w:cs="Times New Roman"/>
                <w:color w:val="000000"/>
                <w:sz w:val="20"/>
                <w:szCs w:val="20"/>
                <w:lang w:val="es-ES"/>
              </w:rPr>
              <w:t>Elaboración de orientaciones para ayudar a las Partes, según proceda, a preparar estrategias eficientes para prevenir y reducir al mínimo la generación de desechos peligrosos y otros desechos y su eliminación, teniendo en cuenta el manual de prevención elaborado por el grupo de trabajo de expertos sobre gestión ambientalmente racional.</w:t>
            </w:r>
          </w:p>
        </w:tc>
        <w:tc>
          <w:tcPr>
            <w:tcW w:w="1843" w:type="dxa"/>
            <w:tcBorders>
              <w:left w:val="single" w:sz="4" w:space="0" w:color="auto"/>
              <w:bottom w:val="single" w:sz="4" w:space="0" w:color="auto"/>
              <w:right w:val="single" w:sz="4" w:space="0" w:color="auto"/>
            </w:tcBorders>
          </w:tcPr>
          <w:p w:rsidR="007833B5" w:rsidRPr="007833B5" w:rsidRDefault="007833B5" w:rsidP="007833B5">
            <w:pPr>
              <w:keepNext/>
              <w:keepLines/>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sz w:val="20"/>
                <w:szCs w:val="20"/>
                <w:lang w:val="es-ES"/>
              </w:rPr>
            </w:pPr>
            <w:r w:rsidRPr="007833B5">
              <w:rPr>
                <w:rFonts w:ascii="Times New Roman" w:eastAsia="Times New Roman" w:hAnsi="Times New Roman" w:cs="Times New Roman"/>
                <w:color w:val="000000"/>
                <w:sz w:val="20"/>
                <w:szCs w:val="20"/>
                <w:lang w:val="es-ES"/>
              </w:rPr>
              <w:t>Partes y grupo de trabajo de expertos sobre gestión ambientalmente racional o grupo de trabajo entre reuniones</w:t>
            </w:r>
          </w:p>
        </w:tc>
        <w:tc>
          <w:tcPr>
            <w:tcW w:w="1605" w:type="dxa"/>
            <w:tcBorders>
              <w:left w:val="single" w:sz="4" w:space="0" w:color="auto"/>
              <w:bottom w:val="single" w:sz="4" w:space="0" w:color="auto"/>
              <w:right w:val="single" w:sz="4" w:space="0" w:color="auto"/>
            </w:tcBorders>
            <w:shd w:val="clear" w:color="auto" w:fill="auto"/>
          </w:tcPr>
          <w:p w:rsidR="007833B5" w:rsidRPr="007833B5" w:rsidRDefault="007833B5" w:rsidP="007833B5">
            <w:pPr>
              <w:keepNext/>
              <w:keepLines/>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sz w:val="20"/>
                <w:szCs w:val="20"/>
                <w:lang w:val="es-ES"/>
              </w:rPr>
            </w:pPr>
            <w:r w:rsidRPr="007833B5">
              <w:rPr>
                <w:rFonts w:ascii="Times New Roman" w:eastAsia="Times New Roman" w:hAnsi="Times New Roman" w:cs="Times New Roman"/>
                <w:color w:val="000000"/>
                <w:sz w:val="20"/>
                <w:szCs w:val="20"/>
                <w:lang w:val="es-ES"/>
              </w:rPr>
              <w:t>13ª Reunión de la Conferencia de las Partes</w:t>
            </w:r>
          </w:p>
        </w:tc>
      </w:tr>
      <w:tr w:rsidR="007833B5" w:rsidRPr="007833B5" w:rsidTr="002D2385">
        <w:tc>
          <w:tcPr>
            <w:tcW w:w="1414" w:type="dxa"/>
            <w:vMerge w:val="restart"/>
            <w:tcBorders>
              <w:left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sz w:val="20"/>
                <w:szCs w:val="20"/>
                <w:lang w:val="es-ES"/>
              </w:rPr>
            </w:pPr>
            <w:r w:rsidRPr="007833B5">
              <w:rPr>
                <w:rFonts w:ascii="Times New Roman" w:eastAsia="Times New Roman" w:hAnsi="Times New Roman" w:cs="Times New Roman"/>
                <w:color w:val="000000"/>
                <w:sz w:val="20"/>
                <w:szCs w:val="20"/>
                <w:lang w:val="es-ES"/>
              </w:rPr>
              <w:t>Fomento de la prevención de desechos (párrafos 5, 7, 8, 12 y 13 de la Declaración de Cartagena)</w:t>
            </w:r>
          </w:p>
        </w:tc>
        <w:tc>
          <w:tcPr>
            <w:tcW w:w="3684" w:type="dxa"/>
            <w:tcBorders>
              <w:top w:val="single" w:sz="4" w:space="0" w:color="auto"/>
              <w:left w:val="single" w:sz="4" w:space="0" w:color="auto"/>
              <w:bottom w:val="nil"/>
              <w:right w:val="single" w:sz="4" w:space="0" w:color="auto"/>
            </w:tcBorders>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Fomento de:</w:t>
            </w:r>
          </w:p>
          <w:p w:rsidR="007833B5" w:rsidRPr="007833B5" w:rsidRDefault="007833B5" w:rsidP="007833B5">
            <w:pPr>
              <w:widowControl w:val="0"/>
              <w:numPr>
                <w:ilvl w:val="0"/>
                <w:numId w:val="2"/>
              </w:numPr>
              <w:tabs>
                <w:tab w:val="left" w:pos="357"/>
                <w:tab w:val="left" w:pos="1247"/>
                <w:tab w:val="left" w:pos="1814"/>
                <w:tab w:val="left" w:pos="2381"/>
                <w:tab w:val="left" w:pos="2948"/>
                <w:tab w:val="left" w:pos="3515"/>
              </w:tabs>
              <w:spacing w:after="0" w:line="240" w:lineRule="auto"/>
              <w:ind w:left="340" w:hanging="340"/>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La elaboración de proyectos experimentales nacionales y regionales sinérgicos sobre la prevención de los desechos de determinadas corrientes de desechos que generan preocupación;</w:t>
            </w:r>
          </w:p>
          <w:p w:rsidR="007833B5" w:rsidRPr="007833B5" w:rsidRDefault="007833B5" w:rsidP="007833B5">
            <w:pPr>
              <w:widowControl w:val="0"/>
              <w:numPr>
                <w:ilvl w:val="0"/>
                <w:numId w:val="2"/>
              </w:numPr>
              <w:tabs>
                <w:tab w:val="left" w:pos="357"/>
                <w:tab w:val="left" w:pos="1247"/>
                <w:tab w:val="left" w:pos="1814"/>
                <w:tab w:val="left" w:pos="2381"/>
                <w:tab w:val="left" w:pos="2948"/>
                <w:tab w:val="left" w:pos="3515"/>
              </w:tabs>
              <w:spacing w:after="120" w:line="240" w:lineRule="auto"/>
              <w:ind w:left="340" w:hanging="340"/>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La mejora del acceso a métodos de producción menos contaminantes, y a la información sobre sustitutos menos peligrosos y sobre alternativas a productos químicos y materiales peligrosos;</w:t>
            </w:r>
          </w:p>
        </w:tc>
        <w:tc>
          <w:tcPr>
            <w:tcW w:w="1843" w:type="dxa"/>
            <w:tcBorders>
              <w:left w:val="single" w:sz="4" w:space="0" w:color="auto"/>
              <w:bottom w:val="nil"/>
              <w:right w:val="single" w:sz="4" w:space="0" w:color="auto"/>
            </w:tcBorders>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Partes, centros regionales y de coordinación del Convenio de Basilea, centros regionales y subregionales del Convenio de Estocolmo, Organización de las Naciones Unidas para el Desarrollo Industrial, Fondo para el Medio Ambiente Mundial, centros de producción menos contaminante y sector privado</w:t>
            </w:r>
          </w:p>
        </w:tc>
        <w:tc>
          <w:tcPr>
            <w:tcW w:w="1605" w:type="dxa"/>
            <w:tcBorders>
              <w:left w:val="single" w:sz="4" w:space="0" w:color="auto"/>
              <w:bottom w:val="nil"/>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sz w:val="20"/>
                <w:szCs w:val="20"/>
                <w:lang w:val="es-ES"/>
              </w:rPr>
            </w:pPr>
            <w:r w:rsidRPr="007833B5">
              <w:rPr>
                <w:rFonts w:ascii="Times New Roman" w:eastAsia="Times New Roman" w:hAnsi="Times New Roman" w:cs="Times New Roman"/>
                <w:sz w:val="20"/>
                <w:szCs w:val="20"/>
                <w:lang w:val="es-ES"/>
              </w:rPr>
              <w:t>En curso</w:t>
            </w:r>
          </w:p>
        </w:tc>
      </w:tr>
      <w:tr w:rsidR="007833B5" w:rsidRPr="007833B5" w:rsidTr="002D2385">
        <w:tc>
          <w:tcPr>
            <w:tcW w:w="1414" w:type="dxa"/>
            <w:vMerge/>
            <w:tcBorders>
              <w:left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p>
        </w:tc>
        <w:tc>
          <w:tcPr>
            <w:tcW w:w="3684" w:type="dxa"/>
            <w:tcBorders>
              <w:top w:val="nil"/>
              <w:left w:val="single" w:sz="4" w:space="0" w:color="auto"/>
              <w:right w:val="single" w:sz="4" w:space="0" w:color="auto"/>
            </w:tcBorders>
            <w:shd w:val="clear" w:color="auto" w:fill="auto"/>
          </w:tcPr>
          <w:p w:rsidR="007833B5" w:rsidRPr="007833B5" w:rsidRDefault="007833B5" w:rsidP="007833B5">
            <w:pPr>
              <w:widowControl w:val="0"/>
              <w:numPr>
                <w:ilvl w:val="0"/>
                <w:numId w:val="2"/>
              </w:numPr>
              <w:tabs>
                <w:tab w:val="left" w:pos="357"/>
                <w:tab w:val="left" w:pos="1247"/>
                <w:tab w:val="left" w:pos="1814"/>
                <w:tab w:val="left" w:pos="2381"/>
                <w:tab w:val="left" w:pos="2948"/>
                <w:tab w:val="left" w:pos="3515"/>
              </w:tabs>
              <w:spacing w:after="120" w:line="240" w:lineRule="auto"/>
              <w:ind w:left="340" w:hanging="340"/>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La puesta en marcha de campañas de sensibilización sobre la prevención de los desechos que incluyan información sobre las técnicas existentes en ese ámbito.</w:t>
            </w:r>
          </w:p>
        </w:tc>
        <w:tc>
          <w:tcPr>
            <w:tcW w:w="1843" w:type="dxa"/>
            <w:tcBorders>
              <w:top w:val="nil"/>
              <w:left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Partes, centros regionales y de coordinación del Convenio de Basilea, centros regionales y subregionales del Convenio de Estocolmo y organizaciones no gubernamentales</w:t>
            </w:r>
          </w:p>
        </w:tc>
        <w:tc>
          <w:tcPr>
            <w:tcW w:w="1605" w:type="dxa"/>
            <w:tcBorders>
              <w:top w:val="nil"/>
              <w:left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sz w:val="20"/>
                <w:szCs w:val="20"/>
                <w:lang w:val="es-ES"/>
              </w:rPr>
            </w:pPr>
          </w:p>
        </w:tc>
      </w:tr>
      <w:tr w:rsidR="007833B5" w:rsidRPr="007833B5" w:rsidTr="002D2385">
        <w:tc>
          <w:tcPr>
            <w:tcW w:w="1414" w:type="dxa"/>
            <w:tcBorders>
              <w:left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t xml:space="preserve">Colaboración con los interesados </w:t>
            </w:r>
            <w:r w:rsidRPr="007833B5">
              <w:rPr>
                <w:rFonts w:ascii="Times New Roman" w:eastAsia="Times New Roman" w:hAnsi="Times New Roman" w:cs="Times New Roman"/>
                <w:color w:val="000000"/>
                <w:sz w:val="20"/>
                <w:szCs w:val="20"/>
                <w:lang w:val="es-ES"/>
              </w:rPr>
              <w:lastRenderedPageBreak/>
              <w:t>pertinentes (párrafo 11 de la Declaración de Cartagena)</w:t>
            </w:r>
          </w:p>
        </w:tc>
        <w:tc>
          <w:tcPr>
            <w:tcW w:w="3684" w:type="dxa"/>
            <w:tcBorders>
              <w:top w:val="single" w:sz="4" w:space="0" w:color="auto"/>
              <w:left w:val="single" w:sz="4" w:space="0" w:color="auto"/>
              <w:bottom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lastRenderedPageBreak/>
              <w:t xml:space="preserve">Fomento y facilitación, según proceda, de la colaboración con otros órganos, organizaciones no gubernamentales, </w:t>
            </w:r>
            <w:r w:rsidRPr="007833B5">
              <w:rPr>
                <w:rFonts w:ascii="Times New Roman" w:eastAsia="Times New Roman" w:hAnsi="Times New Roman" w:cs="Times New Roman"/>
                <w:color w:val="000000"/>
                <w:sz w:val="20"/>
                <w:szCs w:val="20"/>
                <w:lang w:val="es-ES"/>
              </w:rPr>
              <w:lastRenderedPageBreak/>
              <w:t>centros de producción menos contaminante y el sector privado a fin de impulsar la labor sobre prevención, minimización y valorización de los desechos peligrosos y otros desechos, y de elaborar y ejecutar proyectos, programas de prevención de desechos y alianzas con ese objetivo, teniendo en cuenta la información reunida mediante las actividades de recopilación de información.</w:t>
            </w:r>
          </w:p>
        </w:tc>
        <w:tc>
          <w:tcPr>
            <w:tcW w:w="1843" w:type="dxa"/>
            <w:tcBorders>
              <w:left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sz w:val="20"/>
                <w:szCs w:val="20"/>
                <w:lang w:val="es-ES"/>
              </w:rPr>
            </w:pPr>
            <w:r w:rsidRPr="007833B5">
              <w:rPr>
                <w:rFonts w:ascii="Times New Roman" w:eastAsia="Times New Roman" w:hAnsi="Times New Roman" w:cs="Times New Roman"/>
                <w:color w:val="000000"/>
                <w:sz w:val="20"/>
                <w:szCs w:val="20"/>
                <w:lang w:val="es-ES"/>
              </w:rPr>
              <w:lastRenderedPageBreak/>
              <w:t xml:space="preserve">Partes, centros regionales y de coordinación del </w:t>
            </w:r>
            <w:r w:rsidRPr="007833B5">
              <w:rPr>
                <w:rFonts w:ascii="Times New Roman" w:eastAsia="Times New Roman" w:hAnsi="Times New Roman" w:cs="Times New Roman"/>
                <w:color w:val="000000"/>
                <w:sz w:val="20"/>
                <w:szCs w:val="20"/>
                <w:lang w:val="es-ES"/>
              </w:rPr>
              <w:lastRenderedPageBreak/>
              <w:t>Convenio de Basilea, y centros regionales y subregionales del Convenio de Estocolmo</w:t>
            </w:r>
          </w:p>
        </w:tc>
        <w:tc>
          <w:tcPr>
            <w:tcW w:w="1605" w:type="dxa"/>
            <w:tcBorders>
              <w:left w:val="single" w:sz="4" w:space="0" w:color="auto"/>
              <w:right w:val="single" w:sz="4" w:space="0" w:color="auto"/>
            </w:tcBorders>
            <w:shd w:val="clear" w:color="auto" w:fill="auto"/>
          </w:tcPr>
          <w:p w:rsidR="007833B5" w:rsidRPr="007833B5" w:rsidRDefault="007833B5" w:rsidP="007833B5">
            <w:pPr>
              <w:widowControl w:val="0"/>
              <w:tabs>
                <w:tab w:val="left" w:pos="1247"/>
                <w:tab w:val="left" w:pos="1814"/>
                <w:tab w:val="left" w:pos="2381"/>
                <w:tab w:val="left" w:pos="2948"/>
                <w:tab w:val="left" w:pos="3515"/>
              </w:tabs>
              <w:spacing w:after="120" w:line="240" w:lineRule="auto"/>
              <w:rPr>
                <w:rFonts w:ascii="Times New Roman" w:eastAsia="Times New Roman" w:hAnsi="Times New Roman" w:cs="Times New Roman"/>
                <w:color w:val="000000"/>
                <w:sz w:val="20"/>
                <w:szCs w:val="20"/>
                <w:lang w:val="es-ES"/>
              </w:rPr>
            </w:pPr>
            <w:r w:rsidRPr="007833B5">
              <w:rPr>
                <w:rFonts w:ascii="Times New Roman" w:eastAsia="Times New Roman" w:hAnsi="Times New Roman" w:cs="Times New Roman"/>
                <w:color w:val="000000"/>
                <w:sz w:val="20"/>
                <w:szCs w:val="20"/>
                <w:lang w:val="es-ES"/>
              </w:rPr>
              <w:lastRenderedPageBreak/>
              <w:t>En curso</w:t>
            </w:r>
          </w:p>
        </w:tc>
      </w:tr>
    </w:tbl>
    <w:p w:rsidR="007833B5" w:rsidRPr="007833B5" w:rsidRDefault="007833B5" w:rsidP="007833B5">
      <w:pPr>
        <w:tabs>
          <w:tab w:val="left" w:pos="1247"/>
          <w:tab w:val="left" w:pos="1814"/>
          <w:tab w:val="left" w:pos="2381"/>
          <w:tab w:val="left" w:pos="2948"/>
          <w:tab w:val="left" w:pos="3515"/>
        </w:tabs>
        <w:spacing w:after="0" w:line="240" w:lineRule="auto"/>
        <w:ind w:left="1247"/>
        <w:rPr>
          <w:rFonts w:ascii="Times New Roman" w:eastAsia="Times New Roman" w:hAnsi="Times New Roman" w:cs="Times New Roman"/>
          <w:i/>
          <w:sz w:val="20"/>
          <w:szCs w:val="20"/>
          <w:lang w:val="es-ES"/>
        </w:rPr>
      </w:pPr>
    </w:p>
    <w:p w:rsidR="007833B5" w:rsidRDefault="007833B5" w:rsidP="00D74A5A">
      <w:pPr>
        <w:pStyle w:val="NormalNonumber"/>
        <w:numPr>
          <w:ilvl w:val="0"/>
          <w:numId w:val="0"/>
        </w:numPr>
        <w:tabs>
          <w:tab w:val="clear" w:pos="1247"/>
          <w:tab w:val="clear" w:pos="1814"/>
          <w:tab w:val="clear" w:pos="2381"/>
          <w:tab w:val="clear" w:pos="2948"/>
          <w:tab w:val="clear" w:pos="3515"/>
          <w:tab w:val="left" w:pos="624"/>
        </w:tabs>
        <w:ind w:left="1247" w:firstLine="624"/>
        <w:rPr>
          <w:color w:val="000000"/>
          <w:lang w:val="es-ES"/>
        </w:rPr>
      </w:pPr>
    </w:p>
    <w:p w:rsidR="007833B5" w:rsidRPr="00490B24" w:rsidRDefault="007833B5" w:rsidP="00D74A5A">
      <w:pPr>
        <w:pStyle w:val="NormalNonumber"/>
        <w:numPr>
          <w:ilvl w:val="0"/>
          <w:numId w:val="0"/>
        </w:numPr>
        <w:tabs>
          <w:tab w:val="clear" w:pos="1247"/>
          <w:tab w:val="clear" w:pos="1814"/>
          <w:tab w:val="clear" w:pos="2381"/>
          <w:tab w:val="clear" w:pos="2948"/>
          <w:tab w:val="clear" w:pos="3515"/>
          <w:tab w:val="left" w:pos="624"/>
        </w:tabs>
        <w:ind w:left="1247" w:firstLine="624"/>
        <w:rPr>
          <w:lang w:val="es-ES"/>
        </w:rPr>
      </w:pPr>
    </w:p>
    <w:p w:rsidR="007F6528" w:rsidRDefault="007F6528"/>
    <w:sectPr w:rsidR="007F6528" w:rsidSect="007F65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3B5" w:rsidRDefault="007833B5" w:rsidP="007833B5">
      <w:pPr>
        <w:spacing w:after="0" w:line="240" w:lineRule="auto"/>
      </w:pPr>
      <w:r>
        <w:separator/>
      </w:r>
    </w:p>
  </w:endnote>
  <w:endnote w:type="continuationSeparator" w:id="0">
    <w:p w:rsidR="007833B5" w:rsidRDefault="007833B5" w:rsidP="007833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3B5" w:rsidRDefault="007833B5" w:rsidP="007833B5">
      <w:pPr>
        <w:spacing w:after="0" w:line="240" w:lineRule="auto"/>
      </w:pPr>
      <w:r>
        <w:separator/>
      </w:r>
    </w:p>
  </w:footnote>
  <w:footnote w:type="continuationSeparator" w:id="0">
    <w:p w:rsidR="007833B5" w:rsidRDefault="007833B5" w:rsidP="007833B5">
      <w:pPr>
        <w:spacing w:after="0" w:line="240" w:lineRule="auto"/>
      </w:pPr>
      <w:r>
        <w:continuationSeparator/>
      </w:r>
    </w:p>
  </w:footnote>
  <w:footnote w:id="1">
    <w:p w:rsidR="007833B5" w:rsidRPr="00490B24" w:rsidRDefault="007833B5" w:rsidP="007833B5">
      <w:pPr>
        <w:pStyle w:val="FootnoteText"/>
        <w:rPr>
          <w:szCs w:val="18"/>
          <w:lang w:val="es-ES"/>
        </w:rPr>
      </w:pPr>
      <w:r w:rsidRPr="00490B24">
        <w:rPr>
          <w:rStyle w:val="FootnoteReference"/>
          <w:lang w:val="es-ES"/>
        </w:rPr>
        <w:footnoteRef/>
      </w:r>
      <w:r w:rsidRPr="00490B24">
        <w:rPr>
          <w:lang w:val="es-ES"/>
        </w:rPr>
        <w:t xml:space="preserve"> </w:t>
      </w:r>
      <w:r w:rsidRPr="00490B24">
        <w:rPr>
          <w:szCs w:val="18"/>
          <w:lang w:val="es-ES"/>
        </w:rPr>
        <w:t xml:space="preserve">Véanse los párrafos 1, 4, 5, 7, 11 y 12 de la Declaración de Cartagena.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442DA"/>
    <w:multiLevelType w:val="hybridMultilevel"/>
    <w:tmpl w:val="ACA0075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Symbo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Symbol"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35E37C56"/>
    <w:multiLevelType w:val="hybridMultilevel"/>
    <w:tmpl w:val="6E1ED5F8"/>
    <w:lvl w:ilvl="0" w:tplc="FFFFFFFF">
      <w:start w:val="1"/>
      <w:numFmt w:val="decimal"/>
      <w:pStyle w:val="NormalNonumber"/>
      <w:lvlText w:val="%1."/>
      <w:lvlJc w:val="left"/>
      <w:pPr>
        <w:ind w:left="1967" w:hanging="360"/>
      </w:pPr>
      <w:rPr>
        <w:rFonts w:ascii="Times New Roman" w:hAnsi="Times New Roman" w:hint="default"/>
        <w:sz w:val="20"/>
      </w:rPr>
    </w:lvl>
    <w:lvl w:ilvl="1" w:tplc="FFFFFFFF" w:tentative="1">
      <w:start w:val="1"/>
      <w:numFmt w:val="lowerLetter"/>
      <w:lvlText w:val="%2."/>
      <w:lvlJc w:val="left"/>
      <w:pPr>
        <w:ind w:left="2687" w:hanging="360"/>
      </w:pPr>
    </w:lvl>
    <w:lvl w:ilvl="2" w:tplc="FFFFFFFF" w:tentative="1">
      <w:start w:val="1"/>
      <w:numFmt w:val="lowerRoman"/>
      <w:lvlText w:val="%3."/>
      <w:lvlJc w:val="right"/>
      <w:pPr>
        <w:ind w:left="3407" w:hanging="180"/>
      </w:pPr>
    </w:lvl>
    <w:lvl w:ilvl="3" w:tplc="FFFFFFFF" w:tentative="1">
      <w:start w:val="1"/>
      <w:numFmt w:val="decimal"/>
      <w:lvlText w:val="%4."/>
      <w:lvlJc w:val="left"/>
      <w:pPr>
        <w:ind w:left="4127" w:hanging="360"/>
      </w:pPr>
    </w:lvl>
    <w:lvl w:ilvl="4" w:tplc="FFFFFFFF" w:tentative="1">
      <w:start w:val="1"/>
      <w:numFmt w:val="lowerLetter"/>
      <w:lvlText w:val="%5."/>
      <w:lvlJc w:val="left"/>
      <w:pPr>
        <w:ind w:left="4847" w:hanging="360"/>
      </w:pPr>
    </w:lvl>
    <w:lvl w:ilvl="5" w:tplc="FFFFFFFF" w:tentative="1">
      <w:start w:val="1"/>
      <w:numFmt w:val="lowerRoman"/>
      <w:lvlText w:val="%6."/>
      <w:lvlJc w:val="right"/>
      <w:pPr>
        <w:ind w:left="5567" w:hanging="180"/>
      </w:pPr>
    </w:lvl>
    <w:lvl w:ilvl="6" w:tplc="FFFFFFFF" w:tentative="1">
      <w:start w:val="1"/>
      <w:numFmt w:val="decimal"/>
      <w:lvlText w:val="%7."/>
      <w:lvlJc w:val="left"/>
      <w:pPr>
        <w:ind w:left="6287" w:hanging="360"/>
      </w:pPr>
    </w:lvl>
    <w:lvl w:ilvl="7" w:tplc="FFFFFFFF" w:tentative="1">
      <w:start w:val="1"/>
      <w:numFmt w:val="lowerLetter"/>
      <w:lvlText w:val="%8."/>
      <w:lvlJc w:val="left"/>
      <w:pPr>
        <w:ind w:left="7007" w:hanging="360"/>
      </w:pPr>
    </w:lvl>
    <w:lvl w:ilvl="8" w:tplc="FFFFFFFF" w:tentative="1">
      <w:start w:val="1"/>
      <w:numFmt w:val="lowerRoman"/>
      <w:lvlText w:val="%9."/>
      <w:lvlJc w:val="right"/>
      <w:pPr>
        <w:ind w:left="7727" w:hanging="180"/>
      </w:pPr>
    </w:lvl>
  </w:abstractNum>
  <w:abstractNum w:abstractNumId="2">
    <w:nsid w:val="483A2339"/>
    <w:multiLevelType w:val="hybridMultilevel"/>
    <w:tmpl w:val="F1B662D0"/>
    <w:lvl w:ilvl="0" w:tplc="C9900F68">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D74A5A"/>
    <w:rsid w:val="007833B5"/>
    <w:rsid w:val="007F6528"/>
    <w:rsid w:val="00D74A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5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D74A5A"/>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D74A5A"/>
    <w:pPr>
      <w:numPr>
        <w:numId w:val="1"/>
      </w:numPr>
      <w:tabs>
        <w:tab w:val="num" w:pos="360"/>
      </w:tabs>
      <w:spacing w:after="120"/>
      <w:ind w:left="0" w:firstLine="0"/>
    </w:pPr>
  </w:style>
  <w:style w:type="character" w:customStyle="1" w:styleId="Normal-poolChar">
    <w:name w:val="Normal-pool Char"/>
    <w:link w:val="Normal-pool"/>
    <w:locked/>
    <w:rsid w:val="00D74A5A"/>
    <w:rPr>
      <w:rFonts w:ascii="Times New Roman" w:eastAsia="Times New Roman" w:hAnsi="Times New Roman" w:cs="Times New Roman"/>
      <w:sz w:val="20"/>
      <w:szCs w:val="20"/>
      <w:lang w:val="en-GB"/>
    </w:rPr>
  </w:style>
  <w:style w:type="paragraph" w:styleId="FootnoteText">
    <w:name w:val="footnote text"/>
    <w:basedOn w:val="Normal"/>
    <w:link w:val="FootnoteTextChar"/>
    <w:uiPriority w:val="99"/>
    <w:semiHidden/>
    <w:unhideWhenUsed/>
    <w:rsid w:val="007833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33B5"/>
    <w:rPr>
      <w:sz w:val="20"/>
      <w:szCs w:val="20"/>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7833B5"/>
    <w:rPr>
      <w:rFonts w:ascii="Times New Roman" w:hAnsi="Times New Roman"/>
      <w:color w:val="auto"/>
      <w:sz w:val="20"/>
      <w:szCs w:val="18"/>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818</Words>
  <Characters>4664</Characters>
  <Application>Microsoft Office Word</Application>
  <DocSecurity>0</DocSecurity>
  <Lines>38</Lines>
  <Paragraphs>10</Paragraphs>
  <ScaleCrop>false</ScaleCrop>
  <Company>BRS</Company>
  <LinksUpToDate>false</LinksUpToDate>
  <CharactersWithSpaces>5472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2015-09-07T07:34:00Z</dcterms:created>
  <dcterms:modified xsi:type="dcterms:W3CDTF">2015-09-07T07:34:00Z</dcterms:modified>
</cp:coreProperties>
</file>