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/>
        <w:jc w:val="both"/>
        <w:rPr>
          <w:rFonts w:ascii="Traditional Arabic" w:hAnsi="Traditional Arabic" w:cs="Traditional Arabic"/>
          <w:b/>
          <w:bCs/>
          <w:sz w:val="34"/>
          <w:szCs w:val="34"/>
          <w:rtl/>
          <w:lang w:val="en-US"/>
        </w:rPr>
      </w:pPr>
      <w:r w:rsidRPr="0060272A">
        <w:rPr>
          <w:rFonts w:ascii="Traditional Arabic" w:hAnsi="Traditional Arabic" w:cs="Traditional Arabic"/>
          <w:b/>
          <w:bCs/>
          <w:sz w:val="34"/>
          <w:szCs w:val="34"/>
          <w:rtl/>
          <w:lang w:val="en-US"/>
        </w:rPr>
        <w:t xml:space="preserve">مقرر </w:t>
      </w:r>
      <w:r w:rsidRPr="0060272A">
        <w:rPr>
          <w:rFonts w:cs="Traditional Arabic"/>
          <w:b/>
          <w:bCs/>
          <w:sz w:val="30"/>
          <w:szCs w:val="30"/>
          <w:rtl/>
          <w:lang w:val="en-US"/>
        </w:rPr>
        <w:t>الفريق العامل المفتوح العضوية</w:t>
      </w:r>
      <w:r w:rsidRPr="0060272A">
        <w:rPr>
          <w:rFonts w:ascii="Traditional Arabic" w:hAnsi="Traditional Arabic" w:cs="Traditional Arabic"/>
          <w:b/>
          <w:bCs/>
          <w:sz w:val="34"/>
          <w:szCs w:val="34"/>
          <w:rtl/>
          <w:lang w:val="en-US"/>
        </w:rPr>
        <w:t xml:space="preserve"> -</w:t>
      </w:r>
      <w:r w:rsidRPr="0060272A">
        <w:rPr>
          <w:rFonts w:ascii="Traditional Arabic" w:hAnsi="Traditional Arabic" w:cs="Traditional Arabic" w:hint="cs"/>
          <w:b/>
          <w:bCs/>
          <w:sz w:val="34"/>
          <w:szCs w:val="34"/>
          <w:rtl/>
          <w:lang w:val="en-US"/>
        </w:rPr>
        <w:t>9/2</w:t>
      </w:r>
      <w:r w:rsidRPr="0060272A">
        <w:rPr>
          <w:rFonts w:ascii="Traditional Arabic" w:hAnsi="Traditional Arabic" w:cs="Traditional Arabic"/>
          <w:b/>
          <w:bCs/>
          <w:sz w:val="34"/>
          <w:szCs w:val="34"/>
          <w:rtl/>
          <w:lang w:val="en-US"/>
        </w:rPr>
        <w:t xml:space="preserve">: </w:t>
      </w:r>
      <w:r w:rsidRPr="0060272A">
        <w:rPr>
          <w:rFonts w:cs="Traditional Arabic"/>
          <w:b/>
          <w:bCs/>
          <w:sz w:val="34"/>
          <w:szCs w:val="34"/>
          <w:rtl/>
        </w:rPr>
        <w:t>خيارات لعمليات الفريق العامل المفتوح العضوية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</w:pPr>
      <w:r w:rsidRPr="0060272A">
        <w:rPr>
          <w:rFonts w:cs="Traditional Arabic"/>
          <w:i/>
          <w:iCs/>
          <w:sz w:val="30"/>
          <w:szCs w:val="30"/>
          <w:rtl/>
          <w:lang w:val="en-US"/>
        </w:rPr>
        <w:t>إن الفريق العامل المفتوح العضوية،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7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>إذ يلاحظ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رغبة الأطراف في ضمان عملية صنع قرار شفافة وشاملة وناجعة في الفريق العامل المفتوح العضوية تسمح لجميع المناطق بالمشاركة الفعالة في المناقشات،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>وإذ يدرك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النطاق الواسع لولاية الفريق العامل المفتوح العضوية، التي تشمل المسائل التقنية والقانونية والاستراتيجية عند الإعداد للمناقشات في اجتماعات مؤتمر الأطراف،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lang w:val="en-US"/>
        </w:rPr>
      </w:pP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1</w:t>
      </w: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>-</w:t>
      </w:r>
      <w:r w:rsidRPr="0060272A">
        <w:rPr>
          <w:rFonts w:ascii="Traditional Arabic" w:hAnsi="Traditional Arabic" w:cs="Traditional Arabic"/>
          <w:i/>
          <w:iCs/>
          <w:sz w:val="30"/>
          <w:szCs w:val="30"/>
          <w:lang w:val="en-US"/>
        </w:rPr>
        <w:tab/>
      </w: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 xml:space="preserve">يـُرحب 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بالتحليل الذى أعدته الأمانة بشأن الخيارات المحتملة للترتيبات المؤسسية المستقبلية؛</w:t>
      </w:r>
      <w:r w:rsidRPr="0060272A">
        <w:rPr>
          <w:rFonts w:ascii="Traditional Arabic" w:hAnsi="Traditional Arabic" w:cs="Traditional Arabic"/>
          <w:sz w:val="30"/>
          <w:szCs w:val="30"/>
          <w:vertAlign w:val="superscript"/>
          <w:rtl/>
          <w:lang w:val="en-US"/>
        </w:rPr>
        <w:t>(</w:t>
      </w:r>
      <w:r w:rsidRPr="0060272A">
        <w:rPr>
          <w:rFonts w:cs="Simplified Arabic"/>
          <w:sz w:val="30"/>
          <w:szCs w:val="28"/>
          <w:vertAlign w:val="superscript"/>
          <w:rtl/>
          <w:lang w:val="en-US"/>
        </w:rPr>
        <w:footnoteReference w:id="1"/>
      </w:r>
      <w:r w:rsidRPr="0060272A">
        <w:rPr>
          <w:rFonts w:ascii="Traditional Arabic" w:hAnsi="Traditional Arabic" w:cs="Traditional Arabic"/>
          <w:sz w:val="30"/>
          <w:szCs w:val="30"/>
          <w:vertAlign w:val="superscript"/>
          <w:rtl/>
          <w:lang w:val="en-US"/>
        </w:rPr>
        <w:t>)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2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-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ab/>
      </w: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>يدعو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الأطراف وغيرها من الجهات إلى تقديم أي تعليقات بشأن الترتيبات التي </w:t>
      </w: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 xml:space="preserve">اتخذت 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للاجتماع التاسع للفريق العامل المفتوح العضوية، إلى الأمانة في موعد أقصاه </w:t>
      </w: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30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تشرين ا</w:t>
      </w: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لثاني/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نوفمبر 2014؛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3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-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ab/>
      </w:r>
      <w:r w:rsidRPr="0060272A">
        <w:rPr>
          <w:rFonts w:ascii="Traditional Arabic" w:hAnsi="Traditional Arabic" w:cs="Traditional Arabic"/>
          <w:i/>
          <w:iCs/>
          <w:sz w:val="30"/>
          <w:szCs w:val="30"/>
          <w:rtl/>
          <w:lang w:val="en-US"/>
        </w:rPr>
        <w:t>يطلب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إلى الأمانة أن تجمع أي تعليقات تتلقاها من الأطراف وغيرها وذلك طبقاً للفقرة السابقة، وأن تقدمها إلى مؤتمر الأطراف في اجتماعه الثاني عشر للنظر فيها؛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60272A">
        <w:rPr>
          <w:rFonts w:ascii="Traditional Arabic" w:eastAsia="Calibri" w:hAnsi="Traditional Arabic" w:cs="Traditional Arabic" w:hint="cs"/>
          <w:szCs w:val="30"/>
          <w:rtl/>
          <w:lang w:val="en-US"/>
        </w:rPr>
        <w:t>4</w:t>
      </w:r>
      <w:r w:rsidRPr="0060272A">
        <w:rPr>
          <w:rFonts w:ascii="Traditional Arabic" w:eastAsia="Calibri" w:hAnsi="Traditional Arabic" w:cs="Traditional Arabic"/>
          <w:szCs w:val="30"/>
          <w:rtl/>
          <w:lang w:val="en-US"/>
        </w:rPr>
        <w:t>-</w:t>
      </w:r>
      <w:r w:rsidRPr="0060272A">
        <w:rPr>
          <w:rFonts w:ascii="Traditional Arabic" w:eastAsia="Calibri" w:hAnsi="Traditional Arabic" w:cs="Traditional Arabic"/>
          <w:szCs w:val="30"/>
          <w:lang w:val="en-US"/>
        </w:rPr>
        <w:tab/>
      </w:r>
      <w:r w:rsidRPr="0060272A">
        <w:rPr>
          <w:rFonts w:ascii="Traditional Arabic" w:eastAsia="Calibri" w:hAnsi="Traditional Arabic" w:cs="Traditional Arabic"/>
          <w:i/>
          <w:iCs/>
          <w:szCs w:val="30"/>
          <w:rtl/>
          <w:lang w:val="en-US"/>
        </w:rPr>
        <w:t>يَخْلُص</w:t>
      </w:r>
      <w:r w:rsidRPr="0060272A">
        <w:rPr>
          <w:rFonts w:ascii="Traditional Arabic" w:eastAsia="Calibri" w:hAnsi="Traditional Arabic" w:cs="Traditional Arabic"/>
          <w:szCs w:val="30"/>
          <w:rtl/>
          <w:lang w:val="en-US"/>
        </w:rPr>
        <w:t xml:space="preserve"> إلى أن التحليل </w:t>
      </w:r>
      <w:r w:rsidRPr="0060272A">
        <w:rPr>
          <w:rFonts w:ascii="Traditional Arabic" w:eastAsia="Calibri" w:hAnsi="Traditional Arabic" w:cs="Traditional Arabic" w:hint="cs"/>
          <w:szCs w:val="30"/>
          <w:rtl/>
          <w:lang w:val="en-US"/>
        </w:rPr>
        <w:t xml:space="preserve">والتعليقات المقدمة في الفقرة 2 أعلاه سوف </w:t>
      </w:r>
      <w:r w:rsidRPr="0060272A">
        <w:rPr>
          <w:rFonts w:ascii="Traditional Arabic" w:eastAsia="Calibri" w:hAnsi="Traditional Arabic" w:cs="Traditional Arabic"/>
          <w:szCs w:val="30"/>
          <w:rtl/>
          <w:lang w:val="en-US"/>
        </w:rPr>
        <w:t>يوفر</w:t>
      </w:r>
      <w:r w:rsidRPr="0060272A">
        <w:rPr>
          <w:rFonts w:ascii="Traditional Arabic" w:eastAsia="Calibri" w:hAnsi="Traditional Arabic" w:cs="Traditional Arabic" w:hint="cs"/>
          <w:szCs w:val="30"/>
          <w:rtl/>
          <w:lang w:val="en-US"/>
        </w:rPr>
        <w:t>ان</w:t>
      </w:r>
      <w:r w:rsidRPr="0060272A">
        <w:rPr>
          <w:rFonts w:ascii="Traditional Arabic" w:eastAsia="Calibri" w:hAnsi="Traditional Arabic" w:cs="Traditional Arabic"/>
          <w:szCs w:val="30"/>
          <w:rtl/>
          <w:lang w:val="en-US"/>
        </w:rPr>
        <w:t xml:space="preserve"> قاعدة سليمة لمؤتمر الأطراف لا</w:t>
      </w:r>
      <w:r w:rsidRPr="0060272A">
        <w:rPr>
          <w:rFonts w:ascii="Traditional Arabic" w:eastAsia="Calibri" w:hAnsi="Traditional Arabic" w:cs="Traditional Arabic" w:hint="cs"/>
          <w:szCs w:val="30"/>
          <w:rtl/>
          <w:lang w:val="en-US"/>
        </w:rPr>
        <w:t xml:space="preserve">تخاذ </w:t>
      </w:r>
      <w:r w:rsidRPr="0060272A">
        <w:rPr>
          <w:rFonts w:ascii="Traditional Arabic" w:eastAsia="Calibri" w:hAnsi="Traditional Arabic" w:cs="Traditional Arabic"/>
          <w:szCs w:val="30"/>
          <w:rtl/>
          <w:lang w:val="en-US"/>
        </w:rPr>
        <w:t>مقرر بشأن خيارات الترتيبات المؤسسية المستقبلية المتعلقة بعمليات الفريق العامل المفتوح العضوية؛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7"/>
        <w:jc w:val="both"/>
        <w:rPr>
          <w:rFonts w:cs="Traditional Arabic"/>
          <w:szCs w:val="30"/>
          <w:rtl/>
          <w:lang w:val="en-US"/>
        </w:rPr>
      </w:pP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5</w:t>
      </w:r>
      <w:r w:rsidRPr="0060272A">
        <w:rPr>
          <w:rFonts w:cs="Traditional Arabic"/>
          <w:szCs w:val="30"/>
          <w:rtl/>
          <w:lang w:val="en-US"/>
        </w:rPr>
        <w:t>-</w:t>
      </w:r>
      <w:r w:rsidRPr="0060272A">
        <w:rPr>
          <w:rFonts w:cs="Traditional Arabic"/>
          <w:szCs w:val="30"/>
          <w:lang w:val="en-US"/>
        </w:rPr>
        <w:tab/>
      </w:r>
      <w:r w:rsidRPr="0060272A">
        <w:rPr>
          <w:rFonts w:cs="Traditional Arabic"/>
          <w:i/>
          <w:iCs/>
          <w:szCs w:val="30"/>
          <w:rtl/>
          <w:lang w:val="en-US"/>
        </w:rPr>
        <w:t>يلاحظ</w:t>
      </w:r>
      <w:r w:rsidRPr="0060272A">
        <w:rPr>
          <w:rFonts w:cs="Traditional Arabic"/>
          <w:szCs w:val="30"/>
          <w:rtl/>
          <w:lang w:val="en-US"/>
        </w:rPr>
        <w:t xml:space="preserve"> أن الأطراف عبرت عن وجهات نظر متباينة بشأن الخيارات في الاجتماع التاسع للفريق العامل المفتوح العضوية؛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60272A">
        <w:rPr>
          <w:rFonts w:cs="Traditional Arabic" w:hint="cs"/>
          <w:szCs w:val="30"/>
          <w:rtl/>
          <w:lang w:val="en-US"/>
        </w:rPr>
        <w:t>6</w:t>
      </w:r>
      <w:r w:rsidRPr="0060272A">
        <w:rPr>
          <w:rFonts w:cs="Traditional Arabic"/>
          <w:szCs w:val="30"/>
          <w:rtl/>
          <w:lang w:val="en-US"/>
        </w:rPr>
        <w:t>-</w:t>
      </w:r>
      <w:r w:rsidRPr="0060272A">
        <w:rPr>
          <w:rFonts w:cs="Traditional Arabic"/>
          <w:szCs w:val="30"/>
          <w:lang w:val="en-US"/>
        </w:rPr>
        <w:tab/>
      </w:r>
      <w:r w:rsidRPr="0060272A">
        <w:rPr>
          <w:rFonts w:cs="Traditional Arabic"/>
          <w:i/>
          <w:iCs/>
          <w:szCs w:val="30"/>
          <w:rtl/>
          <w:lang w:val="en-US"/>
        </w:rPr>
        <w:t>يوافق</w:t>
      </w:r>
      <w:r w:rsidRPr="0060272A">
        <w:rPr>
          <w:rFonts w:cs="Traditional Arabic"/>
          <w:szCs w:val="30"/>
          <w:rtl/>
          <w:lang w:val="en-US"/>
        </w:rPr>
        <w:t xml:space="preserve"> على ضرورة أخذ التجارب المتعلقة بالترتيبات للاجتماع التاسع للفريق العامل المفتوح العضوية في الاعتبار قبل إصدار مقرر بشأن الترتيبات المؤسسية المستقبلية لعمليات الفريق العامل المفتوح العضوية؛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60272A">
        <w:rPr>
          <w:rFonts w:cs="Traditional Arabic"/>
          <w:szCs w:val="30"/>
          <w:rtl/>
          <w:lang w:val="en-US"/>
        </w:rPr>
        <w:t>7-</w:t>
      </w:r>
      <w:r w:rsidRPr="0060272A">
        <w:rPr>
          <w:rFonts w:cs="Traditional Arabic"/>
          <w:szCs w:val="30"/>
          <w:rtl/>
          <w:lang w:val="en-US"/>
        </w:rPr>
        <w:tab/>
      </w:r>
      <w:r w:rsidRPr="0060272A">
        <w:rPr>
          <w:rFonts w:cs="Traditional Arabic"/>
          <w:i/>
          <w:iCs/>
          <w:szCs w:val="30"/>
          <w:rtl/>
          <w:lang w:val="en-US"/>
        </w:rPr>
        <w:t>يوصي</w:t>
      </w:r>
      <w:r w:rsidRPr="0060272A">
        <w:rPr>
          <w:rFonts w:cs="Traditional Arabic"/>
          <w:szCs w:val="30"/>
          <w:rtl/>
          <w:lang w:val="en-US"/>
        </w:rPr>
        <w:t xml:space="preserve"> بأن يعتمد مؤتمر الأطراف في اجتماعه الثاني عشر مقرراً بشأن الترتيبات المؤسسية المستقبلية لعمليات الفريق العامل المفتوح العضوية، مع الأخذ في الاعتبار:</w:t>
      </w:r>
    </w:p>
    <w:p w:rsidR="0060272A" w:rsidRPr="0060272A" w:rsidRDefault="0060272A" w:rsidP="0060272A">
      <w:pPr>
        <w:numPr>
          <w:ilvl w:val="0"/>
          <w:numId w:val="14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cs="Traditional Arabic"/>
          <w:szCs w:val="30"/>
          <w:rtl/>
          <w:lang w:val="en-US"/>
        </w:rPr>
      </w:pPr>
      <w:r w:rsidRPr="0060272A">
        <w:rPr>
          <w:rFonts w:cs="Traditional Arabic"/>
          <w:szCs w:val="30"/>
          <w:rtl/>
          <w:lang w:val="en-US"/>
        </w:rPr>
        <w:t>التحليل الذي أعدته الأمانة؛</w:t>
      </w:r>
      <w:r w:rsidRPr="0060272A">
        <w:rPr>
          <w:rFonts w:cs="Traditional Arabic"/>
          <w:szCs w:val="30"/>
          <w:vertAlign w:val="superscript"/>
          <w:rtl/>
          <w:lang w:val="en-US"/>
        </w:rPr>
        <w:t>(</w:t>
      </w:r>
      <w:r w:rsidRPr="0060272A">
        <w:rPr>
          <w:rFonts w:cs="Traditional Arabic"/>
          <w:szCs w:val="30"/>
          <w:vertAlign w:val="superscript"/>
          <w:rtl/>
          <w:lang w:val="en-US"/>
        </w:rPr>
        <w:footnoteReference w:id="2"/>
      </w:r>
      <w:r w:rsidRPr="0060272A">
        <w:rPr>
          <w:rFonts w:cs="Traditional Arabic"/>
          <w:szCs w:val="30"/>
          <w:vertAlign w:val="superscript"/>
          <w:rtl/>
          <w:lang w:val="en-US"/>
        </w:rPr>
        <w:t>)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vertAlign w:val="superscript"/>
          <w:rtl/>
          <w:lang w:val="en-US"/>
        </w:rPr>
      </w:pP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(ب)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ab/>
        <w:t>التعليقات المقدمة من جانب الأطراف وغيرها من الجهات قبل الاجتماع التاسع للفريق العامل المفتوح العضوية؛</w:t>
      </w:r>
      <w:r w:rsidRPr="0060272A">
        <w:rPr>
          <w:rFonts w:ascii="Traditional Arabic" w:hAnsi="Traditional Arabic" w:cs="Traditional Arabic"/>
          <w:sz w:val="30"/>
          <w:szCs w:val="30"/>
          <w:vertAlign w:val="superscript"/>
          <w:rtl/>
          <w:lang w:val="en-US"/>
        </w:rPr>
        <w:t>(</w:t>
      </w:r>
      <w:r w:rsidRPr="0060272A">
        <w:rPr>
          <w:rFonts w:ascii="Traditional Arabic" w:hAnsi="Traditional Arabic" w:cs="Traditional Arabic"/>
          <w:szCs w:val="30"/>
          <w:vertAlign w:val="superscript"/>
          <w:rtl/>
          <w:lang w:val="en-US"/>
        </w:rPr>
        <w:footnoteReference w:id="3"/>
      </w:r>
      <w:r w:rsidRPr="0060272A">
        <w:rPr>
          <w:rFonts w:ascii="Traditional Arabic" w:hAnsi="Traditional Arabic" w:cs="Traditional Arabic"/>
          <w:sz w:val="30"/>
          <w:szCs w:val="30"/>
          <w:vertAlign w:val="superscript"/>
          <w:rtl/>
          <w:lang w:val="en-US"/>
        </w:rPr>
        <w:t>)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(ج)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ab/>
        <w:t xml:space="preserve">التعليقات المقدمة من جانب الأطراف وغيرها من الجهات عملاً بالفقرة </w:t>
      </w: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2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 xml:space="preserve"> أعلاه؛</w:t>
      </w:r>
    </w:p>
    <w:p w:rsidR="0060272A" w:rsidRPr="0060272A" w:rsidRDefault="0060272A" w:rsidP="0060272A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bidi/>
        <w:spacing w:after="120" w:line="400" w:lineRule="exact"/>
        <w:ind w:left="1134" w:firstLine="566"/>
        <w:jc w:val="both"/>
        <w:rPr>
          <w:rFonts w:ascii="Traditional Arabic" w:hAnsi="Traditional Arabic" w:cs="Traditional Arabic"/>
          <w:sz w:val="30"/>
          <w:szCs w:val="30"/>
          <w:rtl/>
          <w:lang w:val="en-US"/>
        </w:rPr>
      </w:pP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lastRenderedPageBreak/>
        <w:t>(د)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ab/>
        <w:t xml:space="preserve">الآراء التي عبرت عنها الأطراف في الاجتماع التاسع للفريق العامل المفتوح العضوية، </w:t>
      </w:r>
      <w:r w:rsidRPr="0060272A">
        <w:rPr>
          <w:rFonts w:ascii="Traditional Arabic" w:hAnsi="Traditional Arabic" w:cs="Traditional Arabic" w:hint="cs"/>
          <w:sz w:val="30"/>
          <w:szCs w:val="30"/>
          <w:rtl/>
          <w:lang w:val="en-US"/>
        </w:rPr>
        <w:t>بما في ذلك ما يتعلق ب</w:t>
      </w:r>
      <w:r w:rsidRPr="0060272A">
        <w:rPr>
          <w:rFonts w:ascii="Traditional Arabic" w:hAnsi="Traditional Arabic" w:cs="Traditional Arabic"/>
          <w:sz w:val="30"/>
          <w:szCs w:val="30"/>
          <w:rtl/>
          <w:lang w:val="en-US"/>
        </w:rPr>
        <w:t>أهمية الترجمة الفورية للبلدان غير الناطقة باللغة الإنجليزية.</w:t>
      </w:r>
    </w:p>
    <w:p w:rsidR="000B25F8" w:rsidRPr="0060272A" w:rsidRDefault="000B25F8" w:rsidP="0060272A"/>
    <w:sectPr w:rsidR="000B25F8" w:rsidRPr="0060272A" w:rsidSect="00350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5F8" w:rsidRDefault="000B25F8" w:rsidP="000B25F8">
      <w:r>
        <w:separator/>
      </w:r>
    </w:p>
  </w:endnote>
  <w:endnote w:type="continuationSeparator" w:id="0">
    <w:p w:rsidR="000B25F8" w:rsidRDefault="000B25F8" w:rsidP="000B2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5F8" w:rsidRDefault="000B25F8" w:rsidP="000B25F8">
      <w:r>
        <w:separator/>
      </w:r>
    </w:p>
  </w:footnote>
  <w:footnote w:type="continuationSeparator" w:id="0">
    <w:p w:rsidR="000B25F8" w:rsidRDefault="000B25F8" w:rsidP="000B25F8">
      <w:r>
        <w:continuationSeparator/>
      </w:r>
    </w:p>
  </w:footnote>
  <w:footnote w:id="1">
    <w:p w:rsidR="0060272A" w:rsidRPr="00584834" w:rsidRDefault="0060272A" w:rsidP="0060272A">
      <w:pPr>
        <w:pStyle w:val="FootnoteText"/>
        <w:spacing w:line="300" w:lineRule="exact"/>
        <w:ind w:left="1134"/>
        <w:jc w:val="both"/>
        <w:rPr>
          <w:rFonts w:ascii="Traditional Arabic" w:hAnsi="Traditional Arabic" w:cs="Traditional Arabic" w:hint="cs"/>
          <w:sz w:val="26"/>
          <w:szCs w:val="26"/>
          <w:rtl/>
        </w:rPr>
      </w:pPr>
      <w:r w:rsidRPr="00584834">
        <w:rPr>
          <w:rFonts w:cs="Traditional Arabic"/>
          <w:szCs w:val="26"/>
          <w:rtl/>
        </w:rPr>
        <w:t>(</w:t>
      </w:r>
      <w:r w:rsidRPr="00584834">
        <w:rPr>
          <w:rStyle w:val="FootnoteReference"/>
          <w:rFonts w:cs="Traditional Arabic"/>
          <w:szCs w:val="26"/>
          <w:rtl/>
        </w:rPr>
        <w:footnoteRef/>
      </w:r>
      <w:r w:rsidRPr="00584834">
        <w:rPr>
          <w:rFonts w:cs="Traditional Arabic"/>
          <w:szCs w:val="26"/>
          <w:rtl/>
        </w:rPr>
        <w:t>)</w:t>
      </w:r>
      <w:r w:rsidRPr="00584834">
        <w:rPr>
          <w:rFonts w:cs="Traditional Arabic" w:hint="cs"/>
          <w:szCs w:val="26"/>
          <w:rtl/>
        </w:rPr>
        <w:t xml:space="preserve"> </w:t>
      </w:r>
      <w:r w:rsidRPr="00584834">
        <w:rPr>
          <w:szCs w:val="18"/>
        </w:rPr>
        <w:t>UNEP/CHW/OEWG.9/5</w:t>
      </w:r>
      <w:r w:rsidRPr="00584834">
        <w:rPr>
          <w:rFonts w:ascii="Traditional Arabic" w:hAnsi="Traditional Arabic" w:cs="Traditional Arabic"/>
          <w:sz w:val="26"/>
          <w:szCs w:val="26"/>
          <w:rtl/>
        </w:rPr>
        <w:t>، المرفق.</w:t>
      </w:r>
    </w:p>
  </w:footnote>
  <w:footnote w:id="2">
    <w:p w:rsidR="0060272A" w:rsidRPr="00584834" w:rsidRDefault="0060272A" w:rsidP="0060272A">
      <w:pPr>
        <w:pStyle w:val="FootnoteText"/>
        <w:spacing w:line="300" w:lineRule="exact"/>
        <w:ind w:left="1134"/>
        <w:jc w:val="both"/>
        <w:rPr>
          <w:rFonts w:ascii="Traditional Arabic" w:hAnsi="Traditional Arabic" w:cs="Traditional Arabic"/>
          <w:sz w:val="26"/>
          <w:szCs w:val="26"/>
          <w:rtl/>
        </w:rPr>
      </w:pPr>
      <w:r w:rsidRPr="00584834">
        <w:rPr>
          <w:rFonts w:ascii="Traditional Arabic" w:hAnsi="Traditional Arabic" w:cs="Traditional Arabic"/>
          <w:sz w:val="26"/>
          <w:szCs w:val="26"/>
          <w:rtl/>
        </w:rPr>
        <w:t>(</w:t>
      </w:r>
      <w:r w:rsidRPr="00584834">
        <w:rPr>
          <w:rStyle w:val="FootnoteReference"/>
          <w:rFonts w:ascii="Traditional Arabic" w:hAnsi="Traditional Arabic" w:cs="Traditional Arabic"/>
          <w:sz w:val="26"/>
          <w:szCs w:val="26"/>
          <w:rtl/>
        </w:rPr>
        <w:footnoteRef/>
      </w:r>
      <w:r w:rsidRPr="00584834">
        <w:rPr>
          <w:rFonts w:ascii="Traditional Arabic" w:hAnsi="Traditional Arabic" w:cs="Traditional Arabic"/>
          <w:sz w:val="26"/>
          <w:szCs w:val="26"/>
          <w:rtl/>
        </w:rPr>
        <w:t>) نفس المصدر السابق.</w:t>
      </w:r>
    </w:p>
  </w:footnote>
  <w:footnote w:id="3">
    <w:p w:rsidR="0060272A" w:rsidRPr="00584834" w:rsidRDefault="0060272A" w:rsidP="0060272A">
      <w:pPr>
        <w:pStyle w:val="FootnoteText"/>
        <w:spacing w:line="300" w:lineRule="exact"/>
        <w:ind w:left="1134"/>
        <w:jc w:val="both"/>
        <w:rPr>
          <w:rFonts w:hint="cs"/>
          <w:rtl/>
        </w:rPr>
      </w:pPr>
      <w:r w:rsidRPr="00584834">
        <w:rPr>
          <w:rFonts w:cs="Traditional Arabic"/>
          <w:szCs w:val="26"/>
          <w:rtl/>
        </w:rPr>
        <w:t>(</w:t>
      </w:r>
      <w:r w:rsidRPr="00584834">
        <w:rPr>
          <w:rStyle w:val="FootnoteReference"/>
          <w:rFonts w:cs="Traditional Arabic"/>
          <w:szCs w:val="26"/>
          <w:rtl/>
        </w:rPr>
        <w:footnoteRef/>
      </w:r>
      <w:r w:rsidRPr="00584834">
        <w:rPr>
          <w:rFonts w:cs="Traditional Arabic"/>
          <w:szCs w:val="26"/>
          <w:rtl/>
        </w:rPr>
        <w:t>)</w:t>
      </w:r>
      <w:r w:rsidRPr="00584834">
        <w:rPr>
          <w:rFonts w:cs="Traditional Arabic" w:hint="cs"/>
          <w:szCs w:val="26"/>
          <w:rtl/>
        </w:rPr>
        <w:t xml:space="preserve"> </w:t>
      </w:r>
      <w:r w:rsidRPr="00584834">
        <w:rPr>
          <w:szCs w:val="18"/>
          <w:lang w:val="fr-CH"/>
        </w:rPr>
        <w:t>UNEP/CHW/OEWG.9/INF/5</w:t>
      </w:r>
      <w:r w:rsidRPr="00584834">
        <w:rPr>
          <w:rFonts w:hint="cs"/>
          <w:rtl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B380A66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171113A7"/>
    <w:multiLevelType w:val="multilevel"/>
    <w:tmpl w:val="48241D10"/>
    <w:numStyleLink w:val="Normallist"/>
  </w:abstractNum>
  <w:abstractNum w:abstractNumId="2">
    <w:nsid w:val="241442DA"/>
    <w:multiLevelType w:val="hybridMultilevel"/>
    <w:tmpl w:val="ACA00756"/>
    <w:lvl w:ilvl="0" w:tplc="0B02D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E1DAA"/>
    <w:multiLevelType w:val="hybridMultilevel"/>
    <w:tmpl w:val="90905886"/>
    <w:lvl w:ilvl="0" w:tplc="5DAACE8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5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6">
    <w:nsid w:val="35E37C56"/>
    <w:multiLevelType w:val="hybridMultilevel"/>
    <w:tmpl w:val="6E1ED5F8"/>
    <w:lvl w:ilvl="0" w:tplc="C9900F68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08090019">
      <w:start w:val="1"/>
      <w:numFmt w:val="lowerLetter"/>
      <w:lvlText w:val="%2."/>
      <w:lvlJc w:val="left"/>
      <w:pPr>
        <w:ind w:left="2687" w:hanging="360"/>
      </w:pPr>
    </w:lvl>
    <w:lvl w:ilvl="2" w:tplc="0809001B" w:tentative="1">
      <w:start w:val="1"/>
      <w:numFmt w:val="lowerRoman"/>
      <w:lvlText w:val="%3."/>
      <w:lvlJc w:val="right"/>
      <w:pPr>
        <w:ind w:left="3407" w:hanging="180"/>
      </w:pPr>
    </w:lvl>
    <w:lvl w:ilvl="3" w:tplc="0809000F" w:tentative="1">
      <w:start w:val="1"/>
      <w:numFmt w:val="decimal"/>
      <w:lvlText w:val="%4."/>
      <w:lvlJc w:val="left"/>
      <w:pPr>
        <w:ind w:left="4127" w:hanging="360"/>
      </w:pPr>
    </w:lvl>
    <w:lvl w:ilvl="4" w:tplc="08090019" w:tentative="1">
      <w:start w:val="1"/>
      <w:numFmt w:val="lowerLetter"/>
      <w:lvlText w:val="%5."/>
      <w:lvlJc w:val="left"/>
      <w:pPr>
        <w:ind w:left="4847" w:hanging="360"/>
      </w:pPr>
    </w:lvl>
    <w:lvl w:ilvl="5" w:tplc="0809001B" w:tentative="1">
      <w:start w:val="1"/>
      <w:numFmt w:val="lowerRoman"/>
      <w:lvlText w:val="%6."/>
      <w:lvlJc w:val="right"/>
      <w:pPr>
        <w:ind w:left="5567" w:hanging="180"/>
      </w:pPr>
    </w:lvl>
    <w:lvl w:ilvl="6" w:tplc="0809000F" w:tentative="1">
      <w:start w:val="1"/>
      <w:numFmt w:val="decimal"/>
      <w:lvlText w:val="%7."/>
      <w:lvlJc w:val="left"/>
      <w:pPr>
        <w:ind w:left="6287" w:hanging="360"/>
      </w:pPr>
    </w:lvl>
    <w:lvl w:ilvl="7" w:tplc="08090019" w:tentative="1">
      <w:start w:val="1"/>
      <w:numFmt w:val="lowerLetter"/>
      <w:lvlText w:val="%8."/>
      <w:lvlJc w:val="left"/>
      <w:pPr>
        <w:ind w:left="7007" w:hanging="360"/>
      </w:pPr>
    </w:lvl>
    <w:lvl w:ilvl="8" w:tplc="08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7">
    <w:nsid w:val="483A2339"/>
    <w:multiLevelType w:val="hybridMultilevel"/>
    <w:tmpl w:val="F1B662D0"/>
    <w:lvl w:ilvl="0" w:tplc="3102673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8">
    <w:nsid w:val="4ACA6491"/>
    <w:multiLevelType w:val="hybridMultilevel"/>
    <w:tmpl w:val="EB828114"/>
    <w:lvl w:ilvl="0" w:tplc="0409000F">
      <w:start w:val="1"/>
      <w:numFmt w:val="decimal"/>
      <w:lvlText w:val="%1."/>
      <w:lvlJc w:val="left"/>
      <w:pPr>
        <w:ind w:left="2856" w:hanging="360"/>
      </w:pPr>
    </w:lvl>
    <w:lvl w:ilvl="1" w:tplc="04090019">
      <w:start w:val="1"/>
      <w:numFmt w:val="lowerLetter"/>
      <w:lvlText w:val="%2."/>
      <w:lvlJc w:val="left"/>
      <w:pPr>
        <w:ind w:left="3576" w:hanging="360"/>
      </w:pPr>
    </w:lvl>
    <w:lvl w:ilvl="2" w:tplc="0409001B" w:tentative="1">
      <w:start w:val="1"/>
      <w:numFmt w:val="lowerRoman"/>
      <w:lvlText w:val="%3."/>
      <w:lvlJc w:val="right"/>
      <w:pPr>
        <w:ind w:left="4296" w:hanging="180"/>
      </w:pPr>
    </w:lvl>
    <w:lvl w:ilvl="3" w:tplc="0409000F" w:tentative="1">
      <w:start w:val="1"/>
      <w:numFmt w:val="decimal"/>
      <w:lvlText w:val="%4."/>
      <w:lvlJc w:val="left"/>
      <w:pPr>
        <w:ind w:left="5016" w:hanging="360"/>
      </w:pPr>
    </w:lvl>
    <w:lvl w:ilvl="4" w:tplc="04090019" w:tentative="1">
      <w:start w:val="1"/>
      <w:numFmt w:val="lowerLetter"/>
      <w:lvlText w:val="%5."/>
      <w:lvlJc w:val="left"/>
      <w:pPr>
        <w:ind w:left="5736" w:hanging="360"/>
      </w:pPr>
    </w:lvl>
    <w:lvl w:ilvl="5" w:tplc="0409001B" w:tentative="1">
      <w:start w:val="1"/>
      <w:numFmt w:val="lowerRoman"/>
      <w:lvlText w:val="%6."/>
      <w:lvlJc w:val="right"/>
      <w:pPr>
        <w:ind w:left="6456" w:hanging="180"/>
      </w:pPr>
    </w:lvl>
    <w:lvl w:ilvl="6" w:tplc="0409000F" w:tentative="1">
      <w:start w:val="1"/>
      <w:numFmt w:val="decimal"/>
      <w:lvlText w:val="%7."/>
      <w:lvlJc w:val="left"/>
      <w:pPr>
        <w:ind w:left="7176" w:hanging="360"/>
      </w:pPr>
    </w:lvl>
    <w:lvl w:ilvl="7" w:tplc="04090019" w:tentative="1">
      <w:start w:val="1"/>
      <w:numFmt w:val="lowerLetter"/>
      <w:lvlText w:val="%8."/>
      <w:lvlJc w:val="left"/>
      <w:pPr>
        <w:ind w:left="7896" w:hanging="360"/>
      </w:pPr>
    </w:lvl>
    <w:lvl w:ilvl="8" w:tplc="0409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9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0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1">
    <w:nsid w:val="6D93774D"/>
    <w:multiLevelType w:val="hybridMultilevel"/>
    <w:tmpl w:val="53369346"/>
    <w:lvl w:ilvl="0" w:tplc="5DA627C0">
      <w:start w:val="1"/>
      <w:numFmt w:val="arabicAlpha"/>
      <w:lvlText w:val="(%1)"/>
      <w:lvlJc w:val="left"/>
      <w:pPr>
        <w:ind w:left="328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42" w:hanging="360"/>
      </w:pPr>
    </w:lvl>
    <w:lvl w:ilvl="2" w:tplc="0409001B" w:tentative="1">
      <w:start w:val="1"/>
      <w:numFmt w:val="lowerRoman"/>
      <w:lvlText w:val="%3."/>
      <w:lvlJc w:val="right"/>
      <w:pPr>
        <w:ind w:left="4362" w:hanging="180"/>
      </w:pPr>
    </w:lvl>
    <w:lvl w:ilvl="3" w:tplc="0409000F" w:tentative="1">
      <w:start w:val="1"/>
      <w:numFmt w:val="decimal"/>
      <w:lvlText w:val="%4."/>
      <w:lvlJc w:val="left"/>
      <w:pPr>
        <w:ind w:left="5082" w:hanging="360"/>
      </w:pPr>
    </w:lvl>
    <w:lvl w:ilvl="4" w:tplc="04090019" w:tentative="1">
      <w:start w:val="1"/>
      <w:numFmt w:val="lowerLetter"/>
      <w:lvlText w:val="%5."/>
      <w:lvlJc w:val="left"/>
      <w:pPr>
        <w:ind w:left="5802" w:hanging="360"/>
      </w:pPr>
    </w:lvl>
    <w:lvl w:ilvl="5" w:tplc="0409001B" w:tentative="1">
      <w:start w:val="1"/>
      <w:numFmt w:val="lowerRoman"/>
      <w:lvlText w:val="%6."/>
      <w:lvlJc w:val="right"/>
      <w:pPr>
        <w:ind w:left="6522" w:hanging="180"/>
      </w:pPr>
    </w:lvl>
    <w:lvl w:ilvl="6" w:tplc="0409000F" w:tentative="1">
      <w:start w:val="1"/>
      <w:numFmt w:val="decimal"/>
      <w:lvlText w:val="%7."/>
      <w:lvlJc w:val="left"/>
      <w:pPr>
        <w:ind w:left="7242" w:hanging="360"/>
      </w:pPr>
    </w:lvl>
    <w:lvl w:ilvl="7" w:tplc="04090019" w:tentative="1">
      <w:start w:val="1"/>
      <w:numFmt w:val="lowerLetter"/>
      <w:lvlText w:val="%8."/>
      <w:lvlJc w:val="left"/>
      <w:pPr>
        <w:ind w:left="7962" w:hanging="360"/>
      </w:pPr>
    </w:lvl>
    <w:lvl w:ilvl="8" w:tplc="0409001B" w:tentative="1">
      <w:start w:val="1"/>
      <w:numFmt w:val="lowerRoman"/>
      <w:lvlText w:val="%9."/>
      <w:lvlJc w:val="right"/>
      <w:pPr>
        <w:ind w:left="8682" w:hanging="180"/>
      </w:pPr>
    </w:lvl>
  </w:abstractNum>
  <w:num w:numId="1">
    <w:abstractNumId w:val="6"/>
  </w:num>
  <w:num w:numId="2">
    <w:abstractNumId w:val="6"/>
  </w:num>
  <w:num w:numId="3">
    <w:abstractNumId w:val="2"/>
  </w:num>
  <w:num w:numId="4">
    <w:abstractNumId w:val="7"/>
  </w:num>
  <w:num w:numId="5">
    <w:abstractNumId w:val="9"/>
  </w:num>
  <w:num w:numId="6">
    <w:abstractNumId w:val="9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7">
    <w:abstractNumId w:val="0"/>
  </w:num>
  <w:num w:numId="8">
    <w:abstractNumId w:val="10"/>
  </w:num>
  <w:num w:numId="9">
    <w:abstractNumId w:val="4"/>
  </w:num>
  <w:num w:numId="10">
    <w:abstractNumId w:val="5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382D"/>
    <w:rsid w:val="000718B6"/>
    <w:rsid w:val="000B25F8"/>
    <w:rsid w:val="001B53BC"/>
    <w:rsid w:val="00281887"/>
    <w:rsid w:val="00327412"/>
    <w:rsid w:val="0035083F"/>
    <w:rsid w:val="003616FC"/>
    <w:rsid w:val="00430E46"/>
    <w:rsid w:val="00523046"/>
    <w:rsid w:val="00593817"/>
    <w:rsid w:val="0060272A"/>
    <w:rsid w:val="006343E0"/>
    <w:rsid w:val="0064070F"/>
    <w:rsid w:val="006A4EEB"/>
    <w:rsid w:val="006D5129"/>
    <w:rsid w:val="0075644B"/>
    <w:rsid w:val="00827715"/>
    <w:rsid w:val="0094329B"/>
    <w:rsid w:val="00951E19"/>
    <w:rsid w:val="009A65C1"/>
    <w:rsid w:val="009F6B9A"/>
    <w:rsid w:val="00A16B8F"/>
    <w:rsid w:val="00A27FB7"/>
    <w:rsid w:val="00A53776"/>
    <w:rsid w:val="00BB1008"/>
    <w:rsid w:val="00BF57B2"/>
    <w:rsid w:val="00C91F17"/>
    <w:rsid w:val="00D07BEE"/>
    <w:rsid w:val="00E3382D"/>
    <w:rsid w:val="00F547EB"/>
    <w:rsid w:val="00FB5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25F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E3382D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E3382D"/>
    <w:pPr>
      <w:numPr>
        <w:numId w:val="1"/>
      </w:numPr>
      <w:spacing w:after="120"/>
    </w:pPr>
  </w:style>
  <w:style w:type="character" w:customStyle="1" w:styleId="Normal-poolChar">
    <w:name w:val="Normal-pool Char"/>
    <w:link w:val="Normal-pool"/>
    <w:locked/>
    <w:rsid w:val="00E3382D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0B25F8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DNV-FT,Geneva 9,Font: Geneva 9,Boston 10,f,footnote3,text,Geneva,92,Font:,Boston,10,FOOTNOTES,fn,single space,Footnote Text Rail EIS,ft,Footnotes,Footnote ak,fn cafc,Footnotes Char Char,Footnote Text Char Char,fn Char Char,footnote text"/>
    <w:basedOn w:val="Normal-pool"/>
    <w:link w:val="FootnoteTextChar"/>
    <w:rsid w:val="000B25F8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aliases w:val="DNV-FT Char,Geneva 9 Char,Font: Geneva 9 Char,Boston 10 Char,f Char,footnote3 Char,text Char,Geneva Char,92 Char,Font: Char,Boston Char,10 Char,FOOTNOTES Char,fn Char,single space Char,Footnote Text Rail EIS Char,ft Char,fn cafc Char"/>
    <w:basedOn w:val="DefaultParagraphFont"/>
    <w:link w:val="FootnoteText"/>
    <w:rsid w:val="000B25F8"/>
    <w:rPr>
      <w:rFonts w:ascii="Times New Roman" w:eastAsia="Times New Roman" w:hAnsi="Times New Roman" w:cs="Times New Roman"/>
      <w:sz w:val="18"/>
      <w:szCs w:val="20"/>
      <w:lang w:val="en-GB"/>
    </w:rPr>
  </w:style>
  <w:style w:type="paragraph" w:customStyle="1" w:styleId="ZZAnxtitle">
    <w:name w:val="ZZ_Anx_title"/>
    <w:basedOn w:val="Normal-pool"/>
    <w:link w:val="ZZAnxtitleChar"/>
    <w:rsid w:val="000B25F8"/>
    <w:pPr>
      <w:spacing w:before="360" w:after="120"/>
      <w:ind w:left="1247"/>
    </w:pPr>
    <w:rPr>
      <w:b/>
      <w:bCs/>
      <w:sz w:val="28"/>
      <w:szCs w:val="26"/>
    </w:rPr>
  </w:style>
  <w:style w:type="character" w:customStyle="1" w:styleId="ZZAnxtitleChar">
    <w:name w:val="ZZ_Anx_title Char"/>
    <w:link w:val="ZZAnxtitle"/>
    <w:rsid w:val="000B25F8"/>
    <w:rPr>
      <w:rFonts w:ascii="Times New Roman" w:eastAsia="Times New Roman" w:hAnsi="Times New Roman" w:cs="Times New Roman"/>
      <w:b/>
      <w:bCs/>
      <w:sz w:val="28"/>
      <w:szCs w:val="26"/>
      <w:lang w:val="en-GB"/>
    </w:rPr>
  </w:style>
  <w:style w:type="paragraph" w:customStyle="1" w:styleId="Subtitle">
    <w:name w:val="Sub title"/>
    <w:basedOn w:val="Heading2"/>
    <w:rsid w:val="000B25F8"/>
    <w:pPr>
      <w:keepLines w:val="0"/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/>
      <w:ind w:left="1247"/>
    </w:pPr>
    <w:rPr>
      <w:rFonts w:ascii="Times New Roman" w:eastAsia="Times New Roman" w:hAnsi="Times New Roman" w:cs="Times New Roman"/>
      <w:bCs w:val="0"/>
      <w:color w:val="auto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25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ormalnumberChar">
    <w:name w:val="Normal_number Char"/>
    <w:link w:val="Normalnumber"/>
    <w:rsid w:val="00A16B8F"/>
    <w:rPr>
      <w:lang w:val="en-GB"/>
    </w:rPr>
  </w:style>
  <w:style w:type="numbering" w:customStyle="1" w:styleId="Normallist">
    <w:name w:val="Normal_list"/>
    <w:basedOn w:val="NoList"/>
    <w:rsid w:val="00A16B8F"/>
    <w:pPr>
      <w:numPr>
        <w:numId w:val="5"/>
      </w:numPr>
    </w:pPr>
  </w:style>
  <w:style w:type="paragraph" w:customStyle="1" w:styleId="Normalnumber">
    <w:name w:val="Normal_number"/>
    <w:basedOn w:val="Normal-pool"/>
    <w:link w:val="NormalnumberChar"/>
    <w:rsid w:val="00A16B8F"/>
    <w:pPr>
      <w:spacing w:after="120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tyleNormalnumberItalicBlack">
    <w:name w:val="Style Normal_number + Italic Black"/>
    <w:basedOn w:val="Normalnumber"/>
    <w:link w:val="StyleNormalnumberItalicBlackChar"/>
    <w:rsid w:val="00BB1008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  <w:tab w:val="num" w:pos="1758"/>
      </w:tabs>
      <w:ind w:left="1871"/>
    </w:pPr>
    <w:rPr>
      <w:rFonts w:ascii="Times New Roman" w:eastAsia="SimSun" w:hAnsi="Times New Roman" w:cs="Times New Roman"/>
      <w:iCs/>
      <w:color w:val="000000"/>
      <w:sz w:val="20"/>
      <w:szCs w:val="20"/>
    </w:rPr>
  </w:style>
  <w:style w:type="character" w:customStyle="1" w:styleId="StyleNormalnumberItalicBlackChar">
    <w:name w:val="Style Normal_number + Italic Black Char"/>
    <w:link w:val="StyleNormalnumberItalicBlack"/>
    <w:rsid w:val="00BB1008"/>
    <w:rPr>
      <w:rFonts w:ascii="Times New Roman" w:eastAsia="SimSun" w:hAnsi="Times New Roman" w:cs="Times New Roman"/>
      <w:iCs/>
      <w:color w:val="0000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1623</Characters>
  <Application>Microsoft Office Word</Application>
  <DocSecurity>0</DocSecurity>
  <Lines>22</Lines>
  <Paragraphs>9</Paragraphs>
  <ScaleCrop>false</ScaleCrop>
  <Company>BRS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2015-09-04T14:46:00Z</dcterms:created>
  <dcterms:modified xsi:type="dcterms:W3CDTF">2015-09-04T14:46:00Z</dcterms:modified>
</cp:coreProperties>
</file>