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B8F" w:rsidRDefault="00A16B8F" w:rsidP="00A16B8F">
      <w:pPr>
        <w:keepNext/>
        <w:keepLines/>
        <w:spacing w:before="240" w:after="120"/>
        <w:ind w:left="1247"/>
        <w:rPr>
          <w:b/>
          <w:sz w:val="28"/>
          <w:szCs w:val="28"/>
          <w:lang w:val="en-US"/>
        </w:rPr>
      </w:pPr>
      <w:r w:rsidRPr="00DB3B6E">
        <w:rPr>
          <w:b/>
          <w:sz w:val="28"/>
          <w:szCs w:val="28"/>
        </w:rPr>
        <w:t>OEWG-</w:t>
      </w:r>
      <w:r>
        <w:rPr>
          <w:b/>
          <w:sz w:val="28"/>
          <w:szCs w:val="28"/>
        </w:rPr>
        <w:t>9</w:t>
      </w:r>
      <w:r w:rsidRPr="00DB3B6E">
        <w:rPr>
          <w:b/>
          <w:sz w:val="28"/>
          <w:szCs w:val="28"/>
        </w:rPr>
        <w:t>/</w:t>
      </w:r>
      <w:r w:rsidRPr="00DB3B6E">
        <w:rPr>
          <w:b/>
          <w:sz w:val="28"/>
          <w:szCs w:val="28"/>
          <w:lang w:eastAsia="ja-JP"/>
        </w:rPr>
        <w:t>2</w:t>
      </w:r>
      <w:r w:rsidRPr="00DB3B6E">
        <w:rPr>
          <w:b/>
          <w:sz w:val="28"/>
          <w:szCs w:val="28"/>
          <w:lang w:val="en-US"/>
        </w:rPr>
        <w:t xml:space="preserve">: </w:t>
      </w:r>
      <w:r w:rsidRPr="003C5BA3">
        <w:rPr>
          <w:b/>
          <w:sz w:val="28"/>
          <w:szCs w:val="28"/>
          <w:lang w:val="en-US"/>
        </w:rPr>
        <w:t xml:space="preserve">Options for </w:t>
      </w:r>
      <w:r>
        <w:rPr>
          <w:b/>
          <w:sz w:val="28"/>
          <w:szCs w:val="28"/>
          <w:lang w:val="en-US"/>
        </w:rPr>
        <w:t xml:space="preserve">the </w:t>
      </w:r>
      <w:r w:rsidRPr="003C5BA3">
        <w:rPr>
          <w:b/>
          <w:sz w:val="28"/>
          <w:szCs w:val="28"/>
          <w:lang w:val="en-US"/>
        </w:rPr>
        <w:t>operations of the Open-ended Working Group</w:t>
      </w:r>
    </w:p>
    <w:p w:rsidR="00A16B8F" w:rsidRDefault="00A16B8F" w:rsidP="00A16B8F">
      <w:pPr>
        <w:keepNext/>
        <w:keepLines/>
        <w:autoSpaceDE w:val="0"/>
        <w:autoSpaceDN w:val="0"/>
        <w:adjustRightInd w:val="0"/>
        <w:spacing w:after="120"/>
        <w:ind w:left="1248" w:firstLine="624"/>
        <w:rPr>
          <w:i/>
          <w:iCs/>
          <w:color w:val="000000"/>
        </w:rPr>
      </w:pPr>
      <w:r w:rsidRPr="00BD4426">
        <w:rPr>
          <w:i/>
          <w:iCs/>
          <w:color w:val="000000"/>
        </w:rPr>
        <w:t>The Open-ended Working Group</w:t>
      </w:r>
      <w:r>
        <w:rPr>
          <w:i/>
          <w:iCs/>
          <w:color w:val="000000"/>
        </w:rPr>
        <w:t>,</w:t>
      </w:r>
    </w:p>
    <w:p w:rsidR="00A16B8F" w:rsidRPr="00A42A06" w:rsidRDefault="00A16B8F" w:rsidP="00A16B8F">
      <w:pPr>
        <w:pStyle w:val="NormalNonumber"/>
        <w:numPr>
          <w:ilvl w:val="0"/>
          <w:numId w:val="0"/>
        </w:numPr>
        <w:tabs>
          <w:tab w:val="clear" w:pos="1247"/>
          <w:tab w:val="clear" w:pos="1814"/>
          <w:tab w:val="clear" w:pos="2381"/>
          <w:tab w:val="clear" w:pos="2948"/>
          <w:tab w:val="clear" w:pos="3515"/>
          <w:tab w:val="left" w:pos="624"/>
        </w:tabs>
        <w:ind w:left="1260" w:firstLine="612"/>
        <w:rPr>
          <w:color w:val="000000"/>
        </w:rPr>
      </w:pPr>
      <w:r w:rsidRPr="00A42A06">
        <w:rPr>
          <w:i/>
          <w:color w:val="000000"/>
        </w:rPr>
        <w:t>Noting</w:t>
      </w:r>
      <w:r w:rsidRPr="00A42A06">
        <w:rPr>
          <w:color w:val="000000"/>
        </w:rPr>
        <w:t xml:space="preserve"> the desire by parties to ensure a transparent, inclusive and efficient decision-making process in the Open-ended Working Group allowing for all regions to participate effectively in discussions,</w:t>
      </w:r>
    </w:p>
    <w:p w:rsidR="00A16B8F" w:rsidRPr="00A42A06" w:rsidRDefault="00A16B8F" w:rsidP="00A16B8F">
      <w:pPr>
        <w:pStyle w:val="NormalNonumber"/>
        <w:numPr>
          <w:ilvl w:val="0"/>
          <w:numId w:val="0"/>
        </w:numPr>
        <w:tabs>
          <w:tab w:val="clear" w:pos="1247"/>
          <w:tab w:val="clear" w:pos="1814"/>
          <w:tab w:val="clear" w:pos="2381"/>
          <w:tab w:val="clear" w:pos="2948"/>
          <w:tab w:val="clear" w:pos="3515"/>
          <w:tab w:val="left" w:pos="624"/>
        </w:tabs>
        <w:ind w:left="1260" w:firstLine="612"/>
        <w:rPr>
          <w:color w:val="000000"/>
        </w:rPr>
      </w:pPr>
      <w:r w:rsidRPr="00A42A06">
        <w:rPr>
          <w:i/>
          <w:color w:val="000000"/>
        </w:rPr>
        <w:t xml:space="preserve">Recognizing </w:t>
      </w:r>
      <w:r w:rsidRPr="00A42A06">
        <w:rPr>
          <w:color w:val="000000"/>
        </w:rPr>
        <w:t>the broad scope of the mandate of the Open-ended Working Group</w:t>
      </w:r>
      <w:r>
        <w:rPr>
          <w:color w:val="000000"/>
        </w:rPr>
        <w:t>,</w:t>
      </w:r>
      <w:r w:rsidRPr="00A42A06">
        <w:rPr>
          <w:color w:val="000000"/>
        </w:rPr>
        <w:t xml:space="preserve"> covering technical, legal and strategic issues in preparation for discussions at the meetings of the Conference of the Parties,</w:t>
      </w:r>
    </w:p>
    <w:p w:rsidR="00A16B8F" w:rsidRDefault="00A16B8F" w:rsidP="00A16B8F">
      <w:pPr>
        <w:pStyle w:val="Normalnumber"/>
        <w:numPr>
          <w:ilvl w:val="0"/>
          <w:numId w:val="6"/>
        </w:numPr>
        <w:tabs>
          <w:tab w:val="clear" w:pos="1247"/>
          <w:tab w:val="clear" w:pos="1814"/>
          <w:tab w:val="clear" w:pos="2381"/>
          <w:tab w:val="clear" w:pos="2948"/>
          <w:tab w:val="clear" w:pos="3515"/>
        </w:tabs>
        <w:ind w:firstLine="624"/>
        <w:rPr>
          <w:color w:val="000000"/>
        </w:rPr>
      </w:pPr>
      <w:r w:rsidRPr="00A42A06">
        <w:rPr>
          <w:i/>
          <w:color w:val="000000"/>
        </w:rPr>
        <w:t xml:space="preserve">Welcomes </w:t>
      </w:r>
      <w:r w:rsidRPr="00A42A06">
        <w:rPr>
          <w:color w:val="000000"/>
        </w:rPr>
        <w:t>the analysis prepared by the Secretariat on possible options for future institutional arrangements</w:t>
      </w:r>
      <w:r>
        <w:rPr>
          <w:color w:val="000000"/>
        </w:rPr>
        <w:t>;</w:t>
      </w:r>
      <w:r w:rsidRPr="00A42A06">
        <w:rPr>
          <w:rStyle w:val="FootnoteReference"/>
        </w:rPr>
        <w:footnoteReference w:id="1"/>
      </w:r>
      <w:r w:rsidRPr="00A42A06">
        <w:rPr>
          <w:color w:val="000000"/>
        </w:rPr>
        <w:t xml:space="preserve"> </w:t>
      </w:r>
    </w:p>
    <w:p w:rsidR="00A16B8F" w:rsidRPr="00A42A06" w:rsidRDefault="00A16B8F" w:rsidP="00A16B8F">
      <w:pPr>
        <w:pStyle w:val="Normalnumber"/>
        <w:numPr>
          <w:ilvl w:val="0"/>
          <w:numId w:val="6"/>
        </w:numPr>
        <w:tabs>
          <w:tab w:val="clear" w:pos="1247"/>
          <w:tab w:val="clear" w:pos="1814"/>
          <w:tab w:val="clear" w:pos="2381"/>
          <w:tab w:val="clear" w:pos="2948"/>
          <w:tab w:val="clear" w:pos="3515"/>
        </w:tabs>
        <w:ind w:firstLine="624"/>
        <w:rPr>
          <w:color w:val="000000"/>
        </w:rPr>
      </w:pPr>
      <w:r w:rsidRPr="00A42A06">
        <w:rPr>
          <w:i/>
          <w:color w:val="000000"/>
        </w:rPr>
        <w:t xml:space="preserve">Invites </w:t>
      </w:r>
      <w:r w:rsidRPr="00A42A06">
        <w:rPr>
          <w:color w:val="000000"/>
        </w:rPr>
        <w:t xml:space="preserve">parties and others to submit any comments on the arrangements </w:t>
      </w:r>
      <w:r>
        <w:rPr>
          <w:color w:val="000000"/>
        </w:rPr>
        <w:t xml:space="preserve">that were made </w:t>
      </w:r>
      <w:r w:rsidRPr="00A42A06">
        <w:rPr>
          <w:color w:val="000000"/>
        </w:rPr>
        <w:t>for the ninth meeting of the Open-ended Working Group to the Secretariat by 3</w:t>
      </w:r>
      <w:r>
        <w:rPr>
          <w:color w:val="000000"/>
        </w:rPr>
        <w:t>0</w:t>
      </w:r>
      <w:r w:rsidRPr="00A42A06">
        <w:rPr>
          <w:color w:val="000000"/>
        </w:rPr>
        <w:t xml:space="preserve"> November 2014; </w:t>
      </w:r>
    </w:p>
    <w:p w:rsidR="00A16B8F" w:rsidRPr="00A42A06" w:rsidRDefault="00A16B8F" w:rsidP="00A16B8F">
      <w:pPr>
        <w:pStyle w:val="Normalnumber"/>
        <w:numPr>
          <w:ilvl w:val="0"/>
          <w:numId w:val="6"/>
        </w:numPr>
        <w:tabs>
          <w:tab w:val="clear" w:pos="1247"/>
          <w:tab w:val="clear" w:pos="1814"/>
          <w:tab w:val="clear" w:pos="2381"/>
          <w:tab w:val="clear" w:pos="2948"/>
          <w:tab w:val="clear" w:pos="3515"/>
        </w:tabs>
        <w:ind w:firstLine="624"/>
        <w:rPr>
          <w:i/>
          <w:color w:val="000000"/>
        </w:rPr>
      </w:pPr>
      <w:r w:rsidRPr="00A42A06">
        <w:rPr>
          <w:i/>
          <w:color w:val="000000"/>
        </w:rPr>
        <w:t xml:space="preserve">Requests </w:t>
      </w:r>
      <w:r w:rsidRPr="00A42A06">
        <w:rPr>
          <w:color w:val="000000"/>
        </w:rPr>
        <w:t xml:space="preserve">the Secretariat to compile any comments received from parties and others pursuant to the preceding paragraph and to submit them to the Conference of the Parties at its twelfth meeting for its consideration; </w:t>
      </w:r>
    </w:p>
    <w:p w:rsidR="00A16B8F" w:rsidRPr="008A7345" w:rsidRDefault="00A16B8F" w:rsidP="00A16B8F">
      <w:pPr>
        <w:pStyle w:val="Normalnumber"/>
        <w:numPr>
          <w:ilvl w:val="0"/>
          <w:numId w:val="6"/>
        </w:numPr>
        <w:tabs>
          <w:tab w:val="clear" w:pos="1247"/>
          <w:tab w:val="clear" w:pos="1814"/>
          <w:tab w:val="clear" w:pos="2381"/>
          <w:tab w:val="clear" w:pos="2948"/>
          <w:tab w:val="clear" w:pos="3515"/>
        </w:tabs>
        <w:ind w:firstLine="624"/>
      </w:pPr>
      <w:r w:rsidRPr="00A42A06">
        <w:rPr>
          <w:i/>
          <w:color w:val="000000"/>
        </w:rPr>
        <w:t>Concludes</w:t>
      </w:r>
      <w:r w:rsidRPr="00A42A06">
        <w:rPr>
          <w:color w:val="000000"/>
        </w:rPr>
        <w:t xml:space="preserve"> </w:t>
      </w:r>
      <w:r>
        <w:t>that</w:t>
      </w:r>
      <w:r w:rsidRPr="00FB00C4">
        <w:t xml:space="preserve">, together with the comments </w:t>
      </w:r>
      <w:r>
        <w:t>submitted</w:t>
      </w:r>
      <w:r w:rsidRPr="00FB00C4">
        <w:t xml:space="preserve"> in paragraph 2 </w:t>
      </w:r>
      <w:r w:rsidRPr="008A7345">
        <w:t xml:space="preserve">above, the analysis would provide a sound basis for a decision by the Conference of the Parties </w:t>
      </w:r>
      <w:r w:rsidRPr="008A7345">
        <w:rPr>
          <w:color w:val="000000"/>
        </w:rPr>
        <w:t xml:space="preserve">on options for future institutional arrangements for the operations of the Open-ended Working Group; </w:t>
      </w:r>
    </w:p>
    <w:p w:rsidR="00A16B8F" w:rsidRPr="00A42A06" w:rsidRDefault="00A16B8F" w:rsidP="00A16B8F">
      <w:pPr>
        <w:pStyle w:val="Normalnumber"/>
        <w:numPr>
          <w:ilvl w:val="0"/>
          <w:numId w:val="6"/>
        </w:numPr>
        <w:tabs>
          <w:tab w:val="clear" w:pos="1247"/>
          <w:tab w:val="clear" w:pos="1814"/>
          <w:tab w:val="clear" w:pos="2381"/>
          <w:tab w:val="clear" w:pos="2948"/>
          <w:tab w:val="clear" w:pos="3515"/>
        </w:tabs>
        <w:ind w:firstLine="624"/>
      </w:pPr>
      <w:r w:rsidRPr="00A42A06">
        <w:rPr>
          <w:i/>
        </w:rPr>
        <w:t xml:space="preserve">Notes </w:t>
      </w:r>
      <w:r w:rsidRPr="00A42A06">
        <w:t xml:space="preserve">that </w:t>
      </w:r>
      <w:r>
        <w:t>varying</w:t>
      </w:r>
      <w:r w:rsidRPr="00A42A06">
        <w:t xml:space="preserve"> views on options were expressed by parties at the ninth meeting of the Open-ended Working Group; </w:t>
      </w:r>
    </w:p>
    <w:p w:rsidR="00A16B8F" w:rsidRPr="00070E94" w:rsidRDefault="00A16B8F" w:rsidP="00A16B8F">
      <w:pPr>
        <w:pStyle w:val="Normalnumber"/>
        <w:numPr>
          <w:ilvl w:val="0"/>
          <w:numId w:val="6"/>
        </w:numPr>
        <w:tabs>
          <w:tab w:val="clear" w:pos="1247"/>
          <w:tab w:val="clear" w:pos="1814"/>
          <w:tab w:val="clear" w:pos="2381"/>
          <w:tab w:val="clear" w:pos="2948"/>
          <w:tab w:val="clear" w:pos="3515"/>
        </w:tabs>
        <w:ind w:firstLine="624"/>
      </w:pPr>
      <w:r w:rsidRPr="00A42A06">
        <w:rPr>
          <w:i/>
          <w:color w:val="000000"/>
        </w:rPr>
        <w:t xml:space="preserve">Agrees </w:t>
      </w:r>
      <w:r w:rsidRPr="00A42A06">
        <w:rPr>
          <w:color w:val="000000"/>
        </w:rPr>
        <w:t xml:space="preserve">that </w:t>
      </w:r>
      <w:r>
        <w:rPr>
          <w:color w:val="000000"/>
        </w:rPr>
        <w:t xml:space="preserve">the </w:t>
      </w:r>
      <w:r w:rsidRPr="00A42A06">
        <w:rPr>
          <w:color w:val="000000"/>
        </w:rPr>
        <w:t xml:space="preserve">experiences with the arrangements for the ninth meeting of the </w:t>
      </w:r>
      <w:r>
        <w:rPr>
          <w:color w:val="000000"/>
        </w:rPr>
        <w:br/>
      </w:r>
      <w:r w:rsidRPr="00A42A06">
        <w:rPr>
          <w:color w:val="000000"/>
        </w:rPr>
        <w:t xml:space="preserve">Open-ended Working Group should be taken into account before a decision </w:t>
      </w:r>
      <w:r>
        <w:rPr>
          <w:color w:val="000000"/>
        </w:rPr>
        <w:t xml:space="preserve">is made </w:t>
      </w:r>
      <w:r w:rsidRPr="00A42A06">
        <w:rPr>
          <w:color w:val="000000"/>
        </w:rPr>
        <w:t xml:space="preserve">on future institutional arrangements </w:t>
      </w:r>
      <w:r>
        <w:rPr>
          <w:color w:val="000000"/>
        </w:rPr>
        <w:t>for</w:t>
      </w:r>
      <w:r w:rsidRPr="00A42A06">
        <w:rPr>
          <w:color w:val="000000"/>
        </w:rPr>
        <w:t xml:space="preserve"> the operations of the Open-ended Working Group;</w:t>
      </w:r>
    </w:p>
    <w:p w:rsidR="00A16B8F" w:rsidRPr="00A42A06" w:rsidRDefault="00A16B8F" w:rsidP="00A16B8F">
      <w:pPr>
        <w:pStyle w:val="Normalnumber"/>
        <w:numPr>
          <w:ilvl w:val="0"/>
          <w:numId w:val="6"/>
        </w:numPr>
        <w:tabs>
          <w:tab w:val="clear" w:pos="1247"/>
          <w:tab w:val="clear" w:pos="1814"/>
          <w:tab w:val="clear" w:pos="2381"/>
          <w:tab w:val="clear" w:pos="2948"/>
          <w:tab w:val="clear" w:pos="3515"/>
        </w:tabs>
        <w:ind w:firstLine="624"/>
        <w:rPr>
          <w:color w:val="000000"/>
        </w:rPr>
      </w:pPr>
      <w:r w:rsidRPr="00A42A06">
        <w:rPr>
          <w:i/>
          <w:color w:val="000000"/>
        </w:rPr>
        <w:t>Recommends</w:t>
      </w:r>
      <w:r w:rsidRPr="00A42A06">
        <w:rPr>
          <w:color w:val="000000"/>
        </w:rPr>
        <w:t xml:space="preserve"> that the Conference of the Parties at its twelfth meeting </w:t>
      </w:r>
      <w:r>
        <w:rPr>
          <w:color w:val="000000"/>
        </w:rPr>
        <w:t xml:space="preserve">adopt a </w:t>
      </w:r>
      <w:r w:rsidRPr="00A42A06">
        <w:rPr>
          <w:color w:val="000000"/>
        </w:rPr>
        <w:t xml:space="preserve">decision on future institutional arrangements </w:t>
      </w:r>
      <w:r>
        <w:rPr>
          <w:color w:val="000000"/>
        </w:rPr>
        <w:t>for</w:t>
      </w:r>
      <w:r w:rsidRPr="00A42A06">
        <w:rPr>
          <w:color w:val="000000"/>
        </w:rPr>
        <w:t xml:space="preserve"> the operations of the Open-ended Working Group</w:t>
      </w:r>
      <w:r w:rsidRPr="00A42A06">
        <w:t>, taking into account:</w:t>
      </w:r>
    </w:p>
    <w:p w:rsidR="00A16B8F" w:rsidRPr="00A42A06" w:rsidRDefault="00A16B8F" w:rsidP="00A16B8F">
      <w:pPr>
        <w:pStyle w:val="Normalnumber"/>
        <w:numPr>
          <w:ilvl w:val="1"/>
          <w:numId w:val="6"/>
        </w:numPr>
        <w:tabs>
          <w:tab w:val="clear" w:pos="1247"/>
          <w:tab w:val="clear" w:pos="1814"/>
          <w:tab w:val="clear" w:pos="2381"/>
          <w:tab w:val="clear" w:pos="2948"/>
          <w:tab w:val="clear" w:pos="3515"/>
          <w:tab w:val="left" w:pos="624"/>
        </w:tabs>
        <w:rPr>
          <w:color w:val="000000"/>
        </w:rPr>
      </w:pPr>
      <w:r w:rsidRPr="00A42A06">
        <w:t>The analysis prepared by the Secretariat;</w:t>
      </w:r>
      <w:r w:rsidRPr="00A42A06">
        <w:rPr>
          <w:rStyle w:val="FootnoteReference"/>
        </w:rPr>
        <w:footnoteReference w:id="2"/>
      </w:r>
    </w:p>
    <w:p w:rsidR="00A16B8F" w:rsidRPr="00A42A06" w:rsidRDefault="00A16B8F" w:rsidP="00A16B8F">
      <w:pPr>
        <w:pStyle w:val="Normalnumber"/>
        <w:numPr>
          <w:ilvl w:val="1"/>
          <w:numId w:val="6"/>
        </w:numPr>
        <w:tabs>
          <w:tab w:val="clear" w:pos="1247"/>
          <w:tab w:val="clear" w:pos="1814"/>
          <w:tab w:val="clear" w:pos="2381"/>
          <w:tab w:val="clear" w:pos="2948"/>
          <w:tab w:val="clear" w:pos="3515"/>
          <w:tab w:val="left" w:pos="624"/>
        </w:tabs>
        <w:rPr>
          <w:rStyle w:val="FootnoteReference"/>
        </w:rPr>
      </w:pPr>
      <w:r w:rsidRPr="00A42A06">
        <w:t>Comments submitted by parties and others before the ninth meeting of the Open-ended Working Group;</w:t>
      </w:r>
      <w:r w:rsidRPr="00A42A06">
        <w:rPr>
          <w:rStyle w:val="FootnoteReference"/>
        </w:rPr>
        <w:footnoteReference w:id="3"/>
      </w:r>
    </w:p>
    <w:p w:rsidR="00A16B8F" w:rsidRPr="0004154A" w:rsidRDefault="00A16B8F" w:rsidP="00A16B8F">
      <w:pPr>
        <w:pStyle w:val="Normalnumber"/>
        <w:numPr>
          <w:ilvl w:val="1"/>
          <w:numId w:val="6"/>
        </w:numPr>
        <w:tabs>
          <w:tab w:val="clear" w:pos="1247"/>
          <w:tab w:val="clear" w:pos="1814"/>
          <w:tab w:val="clear" w:pos="2381"/>
          <w:tab w:val="clear" w:pos="2948"/>
          <w:tab w:val="clear" w:pos="3515"/>
          <w:tab w:val="left" w:pos="624"/>
        </w:tabs>
        <w:rPr>
          <w:color w:val="000000"/>
        </w:rPr>
      </w:pPr>
      <w:r w:rsidRPr="00A42A06">
        <w:t xml:space="preserve">Comments submitted by parties and others pursuant to paragraph </w:t>
      </w:r>
      <w:r>
        <w:t>2</w:t>
      </w:r>
      <w:r w:rsidRPr="00A42A06">
        <w:t xml:space="preserve"> above; </w:t>
      </w:r>
    </w:p>
    <w:p w:rsidR="00A16B8F" w:rsidRPr="0004154A" w:rsidRDefault="00A16B8F" w:rsidP="00A16B8F">
      <w:pPr>
        <w:pStyle w:val="Normalnumber"/>
        <w:numPr>
          <w:ilvl w:val="1"/>
          <w:numId w:val="6"/>
        </w:numPr>
        <w:tabs>
          <w:tab w:val="clear" w:pos="1247"/>
          <w:tab w:val="clear" w:pos="1814"/>
          <w:tab w:val="clear" w:pos="2381"/>
          <w:tab w:val="clear" w:pos="2948"/>
          <w:tab w:val="clear" w:pos="3515"/>
          <w:tab w:val="left" w:pos="624"/>
        </w:tabs>
        <w:rPr>
          <w:color w:val="000000"/>
        </w:rPr>
      </w:pPr>
      <w:r w:rsidRPr="0004154A">
        <w:rPr>
          <w:color w:val="000000"/>
        </w:rPr>
        <w:t xml:space="preserve">Views expressed by parties at the ninth meeting of the Open-ended </w:t>
      </w:r>
      <w:r w:rsidRPr="008A7345">
        <w:rPr>
          <w:color w:val="000000"/>
        </w:rPr>
        <w:t>Working Group</w:t>
      </w:r>
      <w:r>
        <w:rPr>
          <w:color w:val="000000"/>
        </w:rPr>
        <w:t>,</w:t>
      </w:r>
      <w:r w:rsidRPr="00506A8F">
        <w:rPr>
          <w:color w:val="000000"/>
          <w:lang w:val="en-US"/>
        </w:rPr>
        <w:t xml:space="preserve"> </w:t>
      </w:r>
      <w:r w:rsidRPr="008A7345">
        <w:rPr>
          <w:color w:val="000000"/>
          <w:lang w:val="en-US"/>
        </w:rPr>
        <w:t>including</w:t>
      </w:r>
      <w:r w:rsidRPr="008A7345">
        <w:rPr>
          <w:color w:val="000000"/>
        </w:rPr>
        <w:t xml:space="preserve"> with regard to the importance of interpretation </w:t>
      </w:r>
      <w:r w:rsidRPr="00506A8F">
        <w:rPr>
          <w:color w:val="000000"/>
        </w:rPr>
        <w:t>for non-English-speaking countries</w:t>
      </w:r>
      <w:r w:rsidRPr="008A7345">
        <w:rPr>
          <w:color w:val="000000"/>
        </w:rPr>
        <w:t>.</w:t>
      </w:r>
    </w:p>
    <w:p w:rsidR="000B25F8" w:rsidRPr="00A16B8F" w:rsidRDefault="000B25F8" w:rsidP="00A16B8F"/>
    <w:sectPr w:rsidR="000B25F8" w:rsidRPr="00A16B8F" w:rsidSect="00350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5F8" w:rsidRDefault="000B25F8" w:rsidP="000B25F8">
      <w:r>
        <w:separator/>
      </w:r>
    </w:p>
  </w:endnote>
  <w:endnote w:type="continuationSeparator" w:id="0">
    <w:p w:rsidR="000B25F8" w:rsidRDefault="000B25F8" w:rsidP="000B25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5F8" w:rsidRDefault="000B25F8" w:rsidP="000B25F8">
      <w:r>
        <w:separator/>
      </w:r>
    </w:p>
  </w:footnote>
  <w:footnote w:type="continuationSeparator" w:id="0">
    <w:p w:rsidR="000B25F8" w:rsidRDefault="000B25F8" w:rsidP="000B25F8">
      <w:r>
        <w:continuationSeparator/>
      </w:r>
    </w:p>
  </w:footnote>
  <w:footnote w:id="1">
    <w:p w:rsidR="00A16B8F" w:rsidRPr="003C5BA3" w:rsidRDefault="00A16B8F" w:rsidP="00A16B8F">
      <w:pPr>
        <w:pStyle w:val="FootnoteText"/>
        <w:rPr>
          <w:szCs w:val="18"/>
          <w:lang w:val="en-US"/>
        </w:rPr>
      </w:pPr>
      <w:r w:rsidRPr="00035484">
        <w:rPr>
          <w:rStyle w:val="FootnoteReference"/>
        </w:rPr>
        <w:footnoteRef/>
      </w:r>
      <w:r w:rsidRPr="00035484">
        <w:rPr>
          <w:szCs w:val="18"/>
        </w:rPr>
        <w:t xml:space="preserve"> </w:t>
      </w:r>
      <w:proofErr w:type="gramStart"/>
      <w:r w:rsidRPr="00035484">
        <w:rPr>
          <w:szCs w:val="18"/>
        </w:rPr>
        <w:t>UNEP/CHW/OEWG.9/5, annex.</w:t>
      </w:r>
      <w:proofErr w:type="gramEnd"/>
    </w:p>
  </w:footnote>
  <w:footnote w:id="2">
    <w:p w:rsidR="00A16B8F" w:rsidRPr="003C5BA3" w:rsidRDefault="00A16B8F" w:rsidP="00A16B8F">
      <w:pPr>
        <w:pStyle w:val="FootnoteText"/>
        <w:rPr>
          <w:szCs w:val="18"/>
          <w:lang w:val="en-US"/>
        </w:rPr>
      </w:pPr>
      <w:r w:rsidRPr="00035484">
        <w:rPr>
          <w:rStyle w:val="FootnoteReference"/>
        </w:rPr>
        <w:footnoteRef/>
      </w:r>
      <w:r w:rsidRPr="00035484">
        <w:rPr>
          <w:szCs w:val="18"/>
        </w:rPr>
        <w:t xml:space="preserve"> </w:t>
      </w:r>
      <w:r w:rsidRPr="000B5DB8">
        <w:rPr>
          <w:i/>
          <w:szCs w:val="18"/>
        </w:rPr>
        <w:t>Ibid</w:t>
      </w:r>
      <w:r>
        <w:rPr>
          <w:szCs w:val="18"/>
        </w:rPr>
        <w:t>.</w:t>
      </w:r>
    </w:p>
  </w:footnote>
  <w:footnote w:id="3">
    <w:p w:rsidR="00A16B8F" w:rsidRPr="003C5BA3" w:rsidRDefault="00A16B8F" w:rsidP="00A16B8F">
      <w:pPr>
        <w:pStyle w:val="FootnoteText"/>
        <w:rPr>
          <w:szCs w:val="18"/>
          <w:lang w:val="en-US"/>
        </w:rPr>
      </w:pPr>
      <w:r w:rsidRPr="00035484">
        <w:rPr>
          <w:rStyle w:val="FootnoteReference"/>
        </w:rPr>
        <w:footnoteRef/>
      </w:r>
      <w:r w:rsidRPr="003C5BA3">
        <w:rPr>
          <w:szCs w:val="18"/>
          <w:lang w:val="en-US"/>
        </w:rPr>
        <w:t xml:space="preserve"> UNEP/CHW/OEWG.9/INF/5.</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442DA"/>
    <w:multiLevelType w:val="hybridMultilevel"/>
    <w:tmpl w:val="ACA00756"/>
    <w:lvl w:ilvl="0" w:tplc="0B02D162">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nsid w:val="35E37C56"/>
    <w:multiLevelType w:val="hybridMultilevel"/>
    <w:tmpl w:val="6E1ED5F8"/>
    <w:lvl w:ilvl="0" w:tplc="C9900F68">
      <w:start w:val="1"/>
      <w:numFmt w:val="decimal"/>
      <w:pStyle w:val="NormalNonumber"/>
      <w:lvlText w:val="%1."/>
      <w:lvlJc w:val="left"/>
      <w:pPr>
        <w:ind w:left="1967" w:hanging="360"/>
      </w:pPr>
      <w:rPr>
        <w:rFonts w:ascii="Times New Roman" w:hAnsi="Times New Roman" w:hint="default"/>
        <w:sz w:val="20"/>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2">
    <w:nsid w:val="483A2339"/>
    <w:multiLevelType w:val="hybridMultilevel"/>
    <w:tmpl w:val="F1B662D0"/>
    <w:lvl w:ilvl="0" w:tplc="3102673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
    <w:nsid w:val="52A66A9D"/>
    <w:multiLevelType w:val="multilevel"/>
    <w:tmpl w:val="48241D10"/>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1"/>
  </w:num>
  <w:num w:numId="2">
    <w:abstractNumId w:val="1"/>
  </w:num>
  <w:num w:numId="3">
    <w:abstractNumId w:val="0"/>
  </w:num>
  <w:num w:numId="4">
    <w:abstractNumId w:val="2"/>
  </w:num>
  <w:num w:numId="5">
    <w:abstractNumId w:val="3"/>
  </w:num>
  <w:num w:numId="6">
    <w:abstractNumId w:val="3"/>
    <w:lvlOverride w:ilvl="0">
      <w:lvl w:ilvl="0">
        <w:start w:val="1"/>
        <w:numFmt w:val="decimal"/>
        <w:lvlText w:val="%1."/>
        <w:lvlJc w:val="left"/>
        <w:pPr>
          <w:tabs>
            <w:tab w:val="num" w:pos="1134"/>
          </w:tabs>
          <w:ind w:left="1247" w:firstLine="0"/>
        </w:pPr>
        <w:rPr>
          <w:rFonts w:hint="default"/>
          <w:i w:val="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footnotePr>
    <w:footnote w:id="-1"/>
    <w:footnote w:id="0"/>
  </w:footnotePr>
  <w:endnotePr>
    <w:endnote w:id="-1"/>
    <w:endnote w:id="0"/>
  </w:endnotePr>
  <w:compat/>
  <w:rsids>
    <w:rsidRoot w:val="00E3382D"/>
    <w:rsid w:val="000B25F8"/>
    <w:rsid w:val="0035083F"/>
    <w:rsid w:val="00827715"/>
    <w:rsid w:val="00A16B8F"/>
    <w:rsid w:val="00E3382D"/>
    <w:rsid w:val="00FB59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styleId="Heading2">
    <w:name w:val="heading 2"/>
    <w:basedOn w:val="Normal"/>
    <w:next w:val="Normal"/>
    <w:link w:val="Heading2Char"/>
    <w:uiPriority w:val="9"/>
    <w:semiHidden/>
    <w:unhideWhenUsed/>
    <w:qFormat/>
    <w:rsid w:val="000B25F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customStyle="1" w:styleId="NormalNonumber">
    <w:name w:val="Normal_No_number"/>
    <w:basedOn w:val="Normal-pool"/>
    <w:rsid w:val="00E3382D"/>
    <w:pPr>
      <w:numPr>
        <w:numId w:val="1"/>
      </w:numPr>
      <w:spacing w:after="120"/>
    </w:pPr>
  </w:style>
  <w:style w:type="character" w:customStyle="1" w:styleId="Normal-poolChar">
    <w:name w:val="Normal-pool Char"/>
    <w:link w:val="Normal-pool"/>
    <w:locked/>
    <w:rsid w:val="00E3382D"/>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B25F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B25F8"/>
    <w:pPr>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0B25F8"/>
    <w:rPr>
      <w:rFonts w:ascii="Times New Roman" w:eastAsia="Times New Roman" w:hAnsi="Times New Roman" w:cs="Times New Roman"/>
      <w:sz w:val="18"/>
      <w:szCs w:val="20"/>
      <w:lang w:val="en-GB"/>
    </w:rPr>
  </w:style>
  <w:style w:type="paragraph" w:customStyle="1" w:styleId="ZZAnxtitle">
    <w:name w:val="ZZ_Anx_title"/>
    <w:basedOn w:val="Normal-pool"/>
    <w:link w:val="ZZAnxtitleChar"/>
    <w:rsid w:val="000B25F8"/>
    <w:pPr>
      <w:spacing w:before="360" w:after="120"/>
      <w:ind w:left="1247"/>
    </w:pPr>
    <w:rPr>
      <w:b/>
      <w:bCs/>
      <w:sz w:val="28"/>
      <w:szCs w:val="26"/>
    </w:rPr>
  </w:style>
  <w:style w:type="character" w:customStyle="1" w:styleId="ZZAnxtitleChar">
    <w:name w:val="ZZ_Anx_title Char"/>
    <w:link w:val="ZZAnxtitle"/>
    <w:rsid w:val="000B25F8"/>
    <w:rPr>
      <w:rFonts w:ascii="Times New Roman" w:eastAsia="Times New Roman" w:hAnsi="Times New Roman" w:cs="Times New Roman"/>
      <w:b/>
      <w:bCs/>
      <w:sz w:val="28"/>
      <w:szCs w:val="26"/>
      <w:lang w:val="en-GB"/>
    </w:rPr>
  </w:style>
  <w:style w:type="paragraph" w:customStyle="1" w:styleId="Subtitle">
    <w:name w:val="Sub title"/>
    <w:basedOn w:val="Heading2"/>
    <w:rsid w:val="000B25F8"/>
    <w:pPr>
      <w:keepLines w:val="0"/>
      <w:tabs>
        <w:tab w:val="clear" w:pos="1247"/>
        <w:tab w:val="clear" w:pos="1814"/>
        <w:tab w:val="clear" w:pos="2381"/>
        <w:tab w:val="clear" w:pos="2948"/>
        <w:tab w:val="clear" w:pos="3515"/>
      </w:tabs>
      <w:spacing w:before="0"/>
      <w:ind w:left="1247"/>
    </w:pPr>
    <w:rPr>
      <w:rFonts w:ascii="Times New Roman" w:eastAsia="Times New Roman" w:hAnsi="Times New Roman" w:cs="Times New Roman"/>
      <w:bCs w:val="0"/>
      <w:color w:val="auto"/>
      <w:sz w:val="24"/>
      <w:szCs w:val="24"/>
    </w:rPr>
  </w:style>
  <w:style w:type="character" w:customStyle="1" w:styleId="Heading2Char">
    <w:name w:val="Heading 2 Char"/>
    <w:basedOn w:val="DefaultParagraphFont"/>
    <w:link w:val="Heading2"/>
    <w:uiPriority w:val="9"/>
    <w:semiHidden/>
    <w:rsid w:val="000B25F8"/>
    <w:rPr>
      <w:rFonts w:asciiTheme="majorHAnsi" w:eastAsiaTheme="majorEastAsia" w:hAnsiTheme="majorHAnsi" w:cstheme="majorBidi"/>
      <w:b/>
      <w:bCs/>
      <w:color w:val="4F81BD" w:themeColor="accent1"/>
      <w:sz w:val="26"/>
      <w:szCs w:val="26"/>
      <w:lang w:val="en-GB"/>
    </w:rPr>
  </w:style>
  <w:style w:type="character" w:customStyle="1" w:styleId="NormalnumberChar">
    <w:name w:val="Normal_number Char"/>
    <w:link w:val="Normalnumber"/>
    <w:rsid w:val="00A16B8F"/>
    <w:rPr>
      <w:lang w:val="en-GB"/>
    </w:rPr>
  </w:style>
  <w:style w:type="numbering" w:customStyle="1" w:styleId="Normallist">
    <w:name w:val="Normal_list"/>
    <w:basedOn w:val="NoList"/>
    <w:rsid w:val="00A16B8F"/>
    <w:pPr>
      <w:numPr>
        <w:numId w:val="5"/>
      </w:numPr>
    </w:pPr>
  </w:style>
  <w:style w:type="paragraph" w:customStyle="1" w:styleId="Normalnumber">
    <w:name w:val="Normal_number"/>
    <w:basedOn w:val="Normal-pool"/>
    <w:link w:val="NormalnumberChar"/>
    <w:rsid w:val="00A16B8F"/>
    <w:pPr>
      <w:spacing w:after="120"/>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315</Words>
  <Characters>1918</Characters>
  <Application>Microsoft Office Word</Application>
  <DocSecurity>0</DocSecurity>
  <Lines>76</Lines>
  <Paragraphs>20</Paragraphs>
  <ScaleCrop>false</ScaleCrop>
  <Company>BRS</Company>
  <LinksUpToDate>false</LinksUpToDate>
  <CharactersWithSpaces>2213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2015-09-04T14:11:00Z</dcterms:created>
  <dcterms:modified xsi:type="dcterms:W3CDTF">2015-09-04T14:11:00Z</dcterms:modified>
</cp:coreProperties>
</file>