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5FF" w:rsidRPr="004215FF" w:rsidRDefault="004215FF" w:rsidP="004215FF">
      <w:pPr>
        <w:keepNext/>
        <w:keepLines/>
        <w:tabs>
          <w:tab w:val="left" w:pos="1247"/>
          <w:tab w:val="left" w:pos="1814"/>
          <w:tab w:val="left" w:pos="2381"/>
          <w:tab w:val="left" w:pos="2948"/>
          <w:tab w:val="left" w:pos="3515"/>
        </w:tabs>
        <w:spacing w:before="240" w:after="120" w:line="240" w:lineRule="auto"/>
        <w:ind w:left="1247"/>
        <w:rPr>
          <w:rFonts w:ascii="Times New Roman" w:eastAsia="Times New Roman" w:hAnsi="Times New Roman" w:cs="Times New Roman"/>
          <w:b/>
          <w:sz w:val="28"/>
          <w:szCs w:val="28"/>
          <w:lang w:val="fr-CA"/>
        </w:rPr>
      </w:pPr>
      <w:bookmarkStart w:id="0" w:name="_DV_C320"/>
      <w:r w:rsidRPr="004215FF">
        <w:rPr>
          <w:rFonts w:ascii="Times New Roman" w:eastAsia="Times New Roman" w:hAnsi="Times New Roman" w:cs="Times New Roman"/>
          <w:b/>
          <w:sz w:val="28"/>
          <w:lang w:val="fr-CA"/>
        </w:rPr>
        <w:t xml:space="preserve">OEWG-9/2 : </w:t>
      </w:r>
      <w:bookmarkEnd w:id="0"/>
      <w:r w:rsidRPr="004215FF">
        <w:rPr>
          <w:rFonts w:ascii="Times New Roman" w:eastAsia="Times New Roman" w:hAnsi="Times New Roman" w:cs="Times New Roman"/>
          <w:b/>
          <w:sz w:val="28"/>
          <w:szCs w:val="28"/>
          <w:lang w:val="fr-CA"/>
        </w:rPr>
        <w:t xml:space="preserve">Options relatives au mode de fonctionnement </w:t>
      </w:r>
      <w:r w:rsidRPr="004215FF">
        <w:rPr>
          <w:rFonts w:ascii="Times New Roman" w:eastAsia="Times New Roman" w:hAnsi="Times New Roman" w:cs="Times New Roman"/>
          <w:b/>
          <w:sz w:val="28"/>
          <w:szCs w:val="28"/>
          <w:lang w:val="fr-CA"/>
        </w:rPr>
        <w:br/>
        <w:t>du Groupe de travail à composition non limitée</w:t>
      </w:r>
    </w:p>
    <w:p w:rsidR="004215FF" w:rsidRPr="004215FF" w:rsidRDefault="004215FF" w:rsidP="004215FF">
      <w:pPr>
        <w:keepNext/>
        <w:keepLines/>
        <w:tabs>
          <w:tab w:val="left" w:pos="1247"/>
          <w:tab w:val="left" w:pos="1814"/>
          <w:tab w:val="left" w:pos="2381"/>
          <w:tab w:val="left" w:pos="2948"/>
          <w:tab w:val="left" w:pos="3515"/>
        </w:tabs>
        <w:spacing w:after="120" w:line="240" w:lineRule="auto"/>
        <w:ind w:left="1248" w:firstLine="624"/>
        <w:rPr>
          <w:rFonts w:ascii="Times New Roman" w:eastAsia="Times New Roman" w:hAnsi="Times New Roman" w:cs="Times New Roman"/>
          <w:i/>
          <w:sz w:val="20"/>
          <w:szCs w:val="28"/>
          <w:lang w:val="fr-CA"/>
        </w:rPr>
      </w:pPr>
      <w:bookmarkStart w:id="1" w:name="_DV_C321"/>
      <w:r w:rsidRPr="004215FF">
        <w:rPr>
          <w:rFonts w:ascii="Times New Roman" w:eastAsia="Times New Roman" w:hAnsi="Times New Roman" w:cs="Times New Roman"/>
          <w:i/>
          <w:sz w:val="20"/>
          <w:szCs w:val="20"/>
          <w:lang w:val="fr-CA"/>
        </w:rPr>
        <w:t>Le Groupe de travail à composition non limitée</w:t>
      </w:r>
      <w:bookmarkEnd w:id="1"/>
      <w:r w:rsidRPr="004215FF">
        <w:rPr>
          <w:rFonts w:ascii="Times New Roman" w:eastAsia="Times New Roman" w:hAnsi="Times New Roman" w:cs="Times New Roman"/>
          <w:i/>
          <w:sz w:val="20"/>
          <w:szCs w:val="20"/>
          <w:lang w:val="fr-CA"/>
        </w:rPr>
        <w:t>,</w:t>
      </w:r>
    </w:p>
    <w:p w:rsidR="004215FF" w:rsidRPr="004215FF" w:rsidRDefault="004215FF" w:rsidP="004215FF">
      <w:pPr>
        <w:keepNext/>
        <w:keepLines/>
        <w:tabs>
          <w:tab w:val="left" w:pos="624"/>
        </w:tabs>
        <w:spacing w:after="120" w:line="240" w:lineRule="auto"/>
        <w:ind w:left="1260" w:firstLine="612"/>
        <w:rPr>
          <w:rFonts w:ascii="Times New Roman" w:eastAsia="Times New Roman" w:hAnsi="Times New Roman" w:cs="Times New Roman"/>
          <w:sz w:val="20"/>
          <w:szCs w:val="28"/>
          <w:lang w:val="fr-CA"/>
        </w:rPr>
      </w:pPr>
      <w:r w:rsidRPr="004215FF">
        <w:rPr>
          <w:rFonts w:ascii="Times New Roman" w:eastAsia="Times New Roman" w:hAnsi="Times New Roman" w:cs="Times New Roman"/>
          <w:i/>
          <w:sz w:val="20"/>
          <w:szCs w:val="20"/>
          <w:lang w:val="fr-CA"/>
        </w:rPr>
        <w:t>Notant</w:t>
      </w:r>
      <w:r w:rsidRPr="004215FF">
        <w:rPr>
          <w:rFonts w:ascii="Times New Roman" w:eastAsia="Times New Roman" w:hAnsi="Times New Roman" w:cs="Times New Roman"/>
          <w:sz w:val="20"/>
          <w:szCs w:val="20"/>
          <w:lang w:val="fr-CA"/>
        </w:rPr>
        <w:t xml:space="preserve"> que les Parties souhaitent assurer un processus transparent, ouvert et efficace de prise de décisions au sein du Groupe de travail à composition non limitée afin de permettre à toutes les régions de participer efficacement aux discussions,</w:t>
      </w:r>
    </w:p>
    <w:p w:rsidR="004215FF" w:rsidRPr="004215FF" w:rsidRDefault="004215FF" w:rsidP="004215FF">
      <w:pPr>
        <w:tabs>
          <w:tab w:val="left" w:pos="624"/>
        </w:tabs>
        <w:spacing w:after="120" w:line="240" w:lineRule="auto"/>
        <w:ind w:left="1260" w:firstLine="612"/>
        <w:rPr>
          <w:rFonts w:ascii="Times New Roman" w:eastAsia="Times New Roman" w:hAnsi="Times New Roman" w:cs="Times New Roman"/>
          <w:sz w:val="20"/>
          <w:szCs w:val="28"/>
          <w:lang w:val="fr-CA"/>
        </w:rPr>
      </w:pPr>
      <w:bookmarkStart w:id="2" w:name="_DV_C324"/>
      <w:r w:rsidRPr="004215FF">
        <w:rPr>
          <w:rFonts w:ascii="Times New Roman" w:eastAsia="Times New Roman" w:hAnsi="Times New Roman" w:cs="Times New Roman"/>
          <w:i/>
          <w:sz w:val="20"/>
          <w:szCs w:val="20"/>
          <w:lang w:val="fr-CA"/>
        </w:rPr>
        <w:t>Considérant</w:t>
      </w:r>
      <w:r w:rsidRPr="004215FF">
        <w:rPr>
          <w:rFonts w:ascii="Times New Roman" w:eastAsia="Times New Roman" w:hAnsi="Times New Roman" w:cs="Times New Roman"/>
          <w:sz w:val="20"/>
          <w:szCs w:val="20"/>
          <w:lang w:val="fr-CA"/>
        </w:rPr>
        <w:t xml:space="preserve"> la vaste portée du mandat du Groupe de travail à composition non limitée, qui couvre les questions techniques, juridiques et stratégiques dans la perspective des discussions qui ont lieu lors des réunions de la Conférence des Parties,</w:t>
      </w:r>
    </w:p>
    <w:p w:rsidR="004215FF" w:rsidRPr="004215FF" w:rsidRDefault="004215FF" w:rsidP="004215FF">
      <w:pPr>
        <w:numPr>
          <w:ilvl w:val="0"/>
          <w:numId w:val="3"/>
        </w:numPr>
        <w:tabs>
          <w:tab w:val="left" w:pos="1247"/>
          <w:tab w:val="left" w:pos="1814"/>
          <w:tab w:val="left" w:pos="2381"/>
          <w:tab w:val="left" w:pos="2948"/>
          <w:tab w:val="left" w:pos="3515"/>
        </w:tabs>
        <w:autoSpaceDE w:val="0"/>
        <w:autoSpaceDN w:val="0"/>
        <w:adjustRightInd w:val="0"/>
        <w:spacing w:after="120" w:line="240" w:lineRule="auto"/>
        <w:rPr>
          <w:rFonts w:ascii="Times New Roman" w:eastAsia="Times New Roman" w:hAnsi="Times New Roman" w:cs="Times New Roman"/>
          <w:sz w:val="20"/>
          <w:szCs w:val="18"/>
          <w:lang w:val="fr-CA"/>
        </w:rPr>
      </w:pPr>
      <w:bookmarkStart w:id="3" w:name="_DV_C325"/>
      <w:bookmarkEnd w:id="2"/>
      <w:r w:rsidRPr="004215FF">
        <w:rPr>
          <w:rFonts w:ascii="Times New Roman" w:eastAsia="Times New Roman" w:hAnsi="Times New Roman" w:cs="Times New Roman"/>
          <w:i/>
          <w:sz w:val="20"/>
          <w:szCs w:val="20"/>
          <w:lang w:val="fr-CA"/>
        </w:rPr>
        <w:t>Se félicite</w:t>
      </w:r>
      <w:r w:rsidRPr="004215FF">
        <w:rPr>
          <w:rFonts w:ascii="Times New Roman" w:eastAsia="Times New Roman" w:hAnsi="Times New Roman" w:cs="Times New Roman"/>
          <w:sz w:val="20"/>
          <w:szCs w:val="20"/>
          <w:lang w:val="fr-CA"/>
        </w:rPr>
        <w:t xml:space="preserve"> de l’analyse réalisée par le Secrétariat sur les options éventuelles relatives aux futurs arrangements institutionnels;</w:t>
      </w:r>
      <w:r w:rsidRPr="004215FF">
        <w:rPr>
          <w:rFonts w:ascii="Times New Roman" w:eastAsia="Times New Roman" w:hAnsi="Times New Roman" w:cs="Times New Roman"/>
          <w:sz w:val="20"/>
          <w:szCs w:val="18"/>
          <w:vertAlign w:val="superscript"/>
          <w:lang w:val="fr-CA"/>
        </w:rPr>
        <w:footnoteReference w:id="1"/>
      </w:r>
      <w:bookmarkStart w:id="5" w:name="_DV_C327"/>
      <w:bookmarkEnd w:id="3"/>
    </w:p>
    <w:p w:rsidR="004215FF" w:rsidRPr="004215FF" w:rsidRDefault="004215FF" w:rsidP="004215FF">
      <w:pPr>
        <w:numPr>
          <w:ilvl w:val="0"/>
          <w:numId w:val="3"/>
        </w:numPr>
        <w:tabs>
          <w:tab w:val="left" w:pos="1247"/>
          <w:tab w:val="left" w:pos="1814"/>
          <w:tab w:val="left" w:pos="2381"/>
          <w:tab w:val="left" w:pos="2948"/>
          <w:tab w:val="left" w:pos="3515"/>
        </w:tabs>
        <w:autoSpaceDE w:val="0"/>
        <w:autoSpaceDN w:val="0"/>
        <w:adjustRightInd w:val="0"/>
        <w:spacing w:after="120" w:line="240" w:lineRule="auto"/>
        <w:rPr>
          <w:rFonts w:ascii="Times New Roman" w:eastAsia="Times New Roman" w:hAnsi="Times New Roman" w:cs="Times New Roman"/>
          <w:sz w:val="20"/>
          <w:szCs w:val="18"/>
          <w:lang w:val="fr-CA"/>
        </w:rPr>
      </w:pPr>
      <w:bookmarkStart w:id="6" w:name="_DV_C328"/>
      <w:bookmarkEnd w:id="5"/>
      <w:r w:rsidRPr="004215FF">
        <w:rPr>
          <w:rFonts w:ascii="Times New Roman" w:eastAsia="Times New Roman" w:hAnsi="Times New Roman" w:cs="Times New Roman"/>
          <w:i/>
          <w:sz w:val="20"/>
          <w:szCs w:val="20"/>
          <w:lang w:val="fr-CA"/>
        </w:rPr>
        <w:t>Invite</w:t>
      </w:r>
      <w:r w:rsidRPr="004215FF">
        <w:rPr>
          <w:rFonts w:ascii="Times New Roman" w:eastAsia="Times New Roman" w:hAnsi="Times New Roman" w:cs="Times New Roman"/>
          <w:sz w:val="20"/>
          <w:szCs w:val="20"/>
          <w:lang w:val="fr-CA"/>
        </w:rPr>
        <w:t xml:space="preserve"> les Parties et autres intéressés à soumettre au Secrétariat, avant le 30 novembre 2014, des observations au sujet des arrangements pour la neuvième réunion du Groupe de travail à composition non limitée</w:t>
      </w:r>
      <w:r w:rsidRPr="004215FF">
        <w:rPr>
          <w:rFonts w:ascii="Times New Roman" w:eastAsia="Times New Roman" w:hAnsi="Times New Roman" w:cs="Times New Roman"/>
          <w:sz w:val="20"/>
          <w:lang w:val="fr-CA"/>
        </w:rPr>
        <w:t xml:space="preserve">; </w:t>
      </w:r>
      <w:bookmarkStart w:id="7" w:name="_DV_C329"/>
      <w:bookmarkEnd w:id="6"/>
    </w:p>
    <w:p w:rsidR="004215FF" w:rsidRPr="004215FF" w:rsidRDefault="004215FF" w:rsidP="004215FF">
      <w:pPr>
        <w:numPr>
          <w:ilvl w:val="0"/>
          <w:numId w:val="3"/>
        </w:numPr>
        <w:tabs>
          <w:tab w:val="left" w:pos="1247"/>
          <w:tab w:val="left" w:pos="1814"/>
          <w:tab w:val="left" w:pos="2381"/>
          <w:tab w:val="left" w:pos="2948"/>
          <w:tab w:val="left" w:pos="3515"/>
        </w:tabs>
        <w:autoSpaceDE w:val="0"/>
        <w:autoSpaceDN w:val="0"/>
        <w:adjustRightInd w:val="0"/>
        <w:spacing w:after="120" w:line="240" w:lineRule="auto"/>
        <w:rPr>
          <w:rFonts w:ascii="Times New Roman" w:eastAsia="Times New Roman" w:hAnsi="Times New Roman" w:cs="Times New Roman"/>
          <w:sz w:val="20"/>
          <w:szCs w:val="20"/>
          <w:lang w:val="fr-CA"/>
        </w:rPr>
      </w:pPr>
      <w:bookmarkStart w:id="8" w:name="_DV_C330"/>
      <w:bookmarkEnd w:id="7"/>
      <w:r w:rsidRPr="004215FF">
        <w:rPr>
          <w:rFonts w:ascii="Times New Roman" w:eastAsia="Times New Roman" w:hAnsi="Times New Roman" w:cs="Times New Roman"/>
          <w:i/>
          <w:sz w:val="20"/>
          <w:szCs w:val="20"/>
          <w:lang w:val="fr-CA"/>
        </w:rPr>
        <w:t>Prie</w:t>
      </w:r>
      <w:r w:rsidRPr="004215FF">
        <w:rPr>
          <w:rFonts w:ascii="Times New Roman" w:eastAsia="Times New Roman" w:hAnsi="Times New Roman" w:cs="Times New Roman"/>
          <w:sz w:val="20"/>
          <w:szCs w:val="20"/>
          <w:lang w:val="fr-CA"/>
        </w:rPr>
        <w:t xml:space="preserve"> le Secrétariat de compiler toutes les observations reçues des Parties et autres intéressés, conformément au paragraphe précédent, et de les soumettre à la Conférence des Parties à sa douzième réunion, pour examen; </w:t>
      </w:r>
      <w:bookmarkStart w:id="9" w:name="_DV_C331"/>
      <w:bookmarkEnd w:id="8"/>
    </w:p>
    <w:p w:rsidR="004215FF" w:rsidRPr="004215FF" w:rsidRDefault="004215FF" w:rsidP="004215FF">
      <w:pPr>
        <w:numPr>
          <w:ilvl w:val="0"/>
          <w:numId w:val="3"/>
        </w:numPr>
        <w:tabs>
          <w:tab w:val="left" w:pos="1247"/>
          <w:tab w:val="left" w:pos="1814"/>
          <w:tab w:val="left" w:pos="2381"/>
          <w:tab w:val="left" w:pos="2948"/>
          <w:tab w:val="left" w:pos="3515"/>
        </w:tabs>
        <w:autoSpaceDE w:val="0"/>
        <w:autoSpaceDN w:val="0"/>
        <w:adjustRightInd w:val="0"/>
        <w:spacing w:after="120" w:line="240" w:lineRule="auto"/>
        <w:rPr>
          <w:rFonts w:ascii="Times New Roman" w:eastAsia="Times New Roman" w:hAnsi="Times New Roman" w:cs="Times New Roman"/>
          <w:sz w:val="20"/>
          <w:szCs w:val="20"/>
          <w:lang w:val="fr-CA"/>
        </w:rPr>
      </w:pPr>
      <w:bookmarkStart w:id="10" w:name="_DV_C332"/>
      <w:bookmarkEnd w:id="9"/>
      <w:r w:rsidRPr="004215FF">
        <w:rPr>
          <w:rFonts w:ascii="Times New Roman" w:eastAsia="Times New Roman" w:hAnsi="Times New Roman" w:cs="Times New Roman"/>
          <w:i/>
          <w:sz w:val="20"/>
          <w:szCs w:val="20"/>
          <w:lang w:val="fr-CA"/>
        </w:rPr>
        <w:t>Conclut</w:t>
      </w:r>
      <w:r w:rsidRPr="004215FF">
        <w:rPr>
          <w:rFonts w:ascii="Times New Roman" w:eastAsia="Times New Roman" w:hAnsi="Times New Roman" w:cs="Times New Roman"/>
          <w:sz w:val="20"/>
          <w:szCs w:val="20"/>
          <w:lang w:val="fr-CA"/>
        </w:rPr>
        <w:t xml:space="preserve"> que, parallèlement aux observations présentées au paragraphe 2 ci-dessus, l’analyse constituerait une base solide pour la prise d’une décision par la Conférence des Parties sur les options relatives aux futurs arrangements institutionnels concernant le mode de fonctionnement du Groupe de travail à composition non limitée;</w:t>
      </w:r>
      <w:bookmarkStart w:id="11" w:name="_DV_C333"/>
      <w:bookmarkEnd w:id="10"/>
    </w:p>
    <w:p w:rsidR="004215FF" w:rsidRPr="004215FF" w:rsidRDefault="004215FF" w:rsidP="004215FF">
      <w:pPr>
        <w:numPr>
          <w:ilvl w:val="0"/>
          <w:numId w:val="3"/>
        </w:numPr>
        <w:tabs>
          <w:tab w:val="left" w:pos="1247"/>
          <w:tab w:val="left" w:pos="1814"/>
          <w:tab w:val="left" w:pos="2381"/>
          <w:tab w:val="left" w:pos="2948"/>
          <w:tab w:val="left" w:pos="3515"/>
        </w:tabs>
        <w:autoSpaceDE w:val="0"/>
        <w:autoSpaceDN w:val="0"/>
        <w:adjustRightInd w:val="0"/>
        <w:spacing w:after="120" w:line="240" w:lineRule="auto"/>
        <w:rPr>
          <w:rFonts w:ascii="Times New Roman" w:eastAsia="Times New Roman" w:hAnsi="Times New Roman" w:cs="Times New Roman"/>
          <w:sz w:val="20"/>
          <w:szCs w:val="18"/>
          <w:lang w:val="fr-CA"/>
        </w:rPr>
      </w:pPr>
      <w:bookmarkStart w:id="12" w:name="_DV_C334"/>
      <w:bookmarkEnd w:id="11"/>
      <w:r w:rsidRPr="004215FF">
        <w:rPr>
          <w:rFonts w:ascii="Times New Roman" w:eastAsia="Times New Roman" w:hAnsi="Times New Roman" w:cs="Times New Roman"/>
          <w:i/>
          <w:sz w:val="20"/>
          <w:szCs w:val="20"/>
          <w:lang w:val="fr-CA"/>
        </w:rPr>
        <w:t>Prend note</w:t>
      </w:r>
      <w:r w:rsidRPr="004215FF">
        <w:rPr>
          <w:rFonts w:ascii="Times New Roman" w:eastAsia="Times New Roman" w:hAnsi="Times New Roman" w:cs="Times New Roman"/>
          <w:sz w:val="20"/>
          <w:szCs w:val="20"/>
          <w:lang w:val="fr-CA"/>
        </w:rPr>
        <w:t xml:space="preserve"> des vues différentes exprimées par les Parties au sujet de ces options lors de la neuvième réunion du Groupe de travail à composition non limitée</w:t>
      </w:r>
      <w:r w:rsidRPr="004215FF">
        <w:rPr>
          <w:rFonts w:ascii="Times New Roman" w:eastAsia="Times New Roman" w:hAnsi="Times New Roman" w:cs="Times New Roman"/>
          <w:sz w:val="20"/>
          <w:lang w:val="fr-CA"/>
        </w:rPr>
        <w:t>;</w:t>
      </w:r>
      <w:bookmarkStart w:id="13" w:name="_DV_C335"/>
      <w:bookmarkEnd w:id="12"/>
    </w:p>
    <w:p w:rsidR="004215FF" w:rsidRPr="004215FF" w:rsidRDefault="004215FF" w:rsidP="004215FF">
      <w:pPr>
        <w:numPr>
          <w:ilvl w:val="0"/>
          <w:numId w:val="3"/>
        </w:numPr>
        <w:tabs>
          <w:tab w:val="left" w:pos="1247"/>
          <w:tab w:val="left" w:pos="1814"/>
          <w:tab w:val="left" w:pos="2381"/>
          <w:tab w:val="left" w:pos="2948"/>
          <w:tab w:val="left" w:pos="3515"/>
        </w:tabs>
        <w:autoSpaceDE w:val="0"/>
        <w:autoSpaceDN w:val="0"/>
        <w:adjustRightInd w:val="0"/>
        <w:spacing w:after="120" w:line="240" w:lineRule="auto"/>
        <w:rPr>
          <w:rFonts w:ascii="Times New Roman" w:eastAsia="Times New Roman" w:hAnsi="Times New Roman" w:cs="Times New Roman"/>
          <w:sz w:val="20"/>
          <w:lang w:val="fr-CA"/>
        </w:rPr>
      </w:pPr>
      <w:bookmarkStart w:id="14" w:name="_DV_C336"/>
      <w:bookmarkEnd w:id="13"/>
      <w:r w:rsidRPr="004215FF">
        <w:rPr>
          <w:rFonts w:ascii="Times New Roman" w:eastAsia="Times New Roman" w:hAnsi="Times New Roman" w:cs="Times New Roman"/>
          <w:i/>
          <w:sz w:val="20"/>
          <w:szCs w:val="20"/>
          <w:lang w:val="fr-CA"/>
        </w:rPr>
        <w:t>Convient</w:t>
      </w:r>
      <w:r w:rsidRPr="004215FF">
        <w:rPr>
          <w:rFonts w:ascii="Times New Roman" w:eastAsia="Times New Roman" w:hAnsi="Times New Roman" w:cs="Times New Roman"/>
          <w:sz w:val="20"/>
          <w:szCs w:val="20"/>
          <w:lang w:val="fr-CA"/>
        </w:rPr>
        <w:t xml:space="preserve"> que les enseignements acquis dans le cadre des arrangements pour la neuvième réunion du Groupe de travail à composition non limitée devraient être pris en compte avant de prendre une décision sur les futurs arrangements institutionnels concernant le mode de fonctionnement du Groupe</w:t>
      </w:r>
      <w:r w:rsidRPr="004215FF">
        <w:rPr>
          <w:rFonts w:ascii="Times New Roman" w:eastAsia="Times New Roman" w:hAnsi="Times New Roman" w:cs="Times New Roman"/>
          <w:sz w:val="20"/>
          <w:lang w:val="fr-CA"/>
        </w:rPr>
        <w:t>;</w:t>
      </w:r>
      <w:bookmarkStart w:id="15" w:name="_DV_C337"/>
      <w:bookmarkEnd w:id="14"/>
    </w:p>
    <w:p w:rsidR="004215FF" w:rsidRPr="004215FF" w:rsidRDefault="004215FF" w:rsidP="004215FF">
      <w:pPr>
        <w:numPr>
          <w:ilvl w:val="0"/>
          <w:numId w:val="3"/>
        </w:numPr>
        <w:tabs>
          <w:tab w:val="left" w:pos="1247"/>
          <w:tab w:val="left" w:pos="1814"/>
          <w:tab w:val="left" w:pos="2381"/>
          <w:tab w:val="left" w:pos="2948"/>
          <w:tab w:val="left" w:pos="3515"/>
        </w:tabs>
        <w:autoSpaceDE w:val="0"/>
        <w:autoSpaceDN w:val="0"/>
        <w:adjustRightInd w:val="0"/>
        <w:spacing w:after="120" w:line="240" w:lineRule="auto"/>
        <w:rPr>
          <w:rFonts w:ascii="Times New Roman" w:eastAsia="Times New Roman" w:hAnsi="Times New Roman" w:cs="Times New Roman"/>
          <w:sz w:val="20"/>
          <w:szCs w:val="18"/>
          <w:lang w:val="fr-CA"/>
        </w:rPr>
      </w:pPr>
      <w:bookmarkStart w:id="16" w:name="_DV_C339"/>
      <w:bookmarkEnd w:id="15"/>
      <w:r w:rsidRPr="004215FF">
        <w:rPr>
          <w:rFonts w:ascii="Times New Roman" w:eastAsia="Times New Roman" w:hAnsi="Times New Roman" w:cs="Times New Roman"/>
          <w:i/>
          <w:sz w:val="20"/>
          <w:szCs w:val="20"/>
          <w:lang w:val="fr-CA"/>
        </w:rPr>
        <w:t>Recommande</w:t>
      </w:r>
      <w:r w:rsidRPr="004215FF">
        <w:rPr>
          <w:rFonts w:ascii="Times New Roman" w:eastAsia="Times New Roman" w:hAnsi="Times New Roman" w:cs="Times New Roman"/>
          <w:sz w:val="20"/>
          <w:szCs w:val="20"/>
          <w:lang w:val="fr-CA"/>
        </w:rPr>
        <w:t xml:space="preserve"> que la Conférence des Parties, à sa douzième réunion, adopte une décision sur les futurs arrangements institutionnels concernant le mode de fonctionnement du Groupe de travail à composition non limitée, en prenant en compte;</w:t>
      </w:r>
    </w:p>
    <w:p w:rsidR="004215FF" w:rsidRPr="004215FF" w:rsidRDefault="004215FF" w:rsidP="004215FF">
      <w:pPr>
        <w:numPr>
          <w:ilvl w:val="1"/>
          <w:numId w:val="3"/>
        </w:numPr>
        <w:tabs>
          <w:tab w:val="left" w:pos="624"/>
          <w:tab w:val="left" w:pos="1247"/>
          <w:tab w:val="left" w:pos="1814"/>
          <w:tab w:val="left" w:pos="2381"/>
          <w:tab w:val="left" w:pos="2948"/>
          <w:tab w:val="left" w:pos="3515"/>
        </w:tabs>
        <w:autoSpaceDE w:val="0"/>
        <w:autoSpaceDN w:val="0"/>
        <w:adjustRightInd w:val="0"/>
        <w:spacing w:after="120" w:line="240" w:lineRule="auto"/>
        <w:rPr>
          <w:rFonts w:ascii="Times New Roman" w:eastAsia="Times New Roman" w:hAnsi="Times New Roman" w:cs="Times New Roman"/>
          <w:sz w:val="18"/>
          <w:szCs w:val="18"/>
          <w:vertAlign w:val="superscript"/>
          <w:lang w:val="fr-CA"/>
        </w:rPr>
      </w:pPr>
      <w:bookmarkStart w:id="17" w:name="_DV_C340"/>
      <w:bookmarkEnd w:id="16"/>
      <w:r w:rsidRPr="004215FF">
        <w:rPr>
          <w:rFonts w:ascii="Times New Roman" w:eastAsia="Times New Roman" w:hAnsi="Times New Roman" w:cs="Times New Roman"/>
          <w:sz w:val="20"/>
          <w:szCs w:val="20"/>
          <w:lang w:val="fr-CA"/>
        </w:rPr>
        <w:t>L’analyse réalisée par le Secrétariat</w:t>
      </w:r>
      <w:bookmarkStart w:id="18" w:name="_DV_C343"/>
      <w:bookmarkEnd w:id="17"/>
      <w:r w:rsidRPr="004215FF">
        <w:rPr>
          <w:rFonts w:ascii="Times New Roman" w:eastAsia="Times New Roman" w:hAnsi="Times New Roman" w:cs="Times New Roman"/>
          <w:sz w:val="20"/>
          <w:szCs w:val="18"/>
          <w:vertAlign w:val="superscript"/>
          <w:lang w:val="fr-CA"/>
        </w:rPr>
        <w:footnoteReference w:id="2"/>
      </w:r>
      <w:r w:rsidRPr="004215FF">
        <w:rPr>
          <w:rFonts w:ascii="Times New Roman" w:eastAsia="Times New Roman" w:hAnsi="Times New Roman" w:cs="Times New Roman"/>
          <w:sz w:val="20"/>
          <w:szCs w:val="20"/>
          <w:lang w:val="fr-CA"/>
        </w:rPr>
        <w:t>;</w:t>
      </w:r>
    </w:p>
    <w:p w:rsidR="004215FF" w:rsidRPr="004215FF" w:rsidRDefault="004215FF" w:rsidP="004215FF">
      <w:pPr>
        <w:numPr>
          <w:ilvl w:val="1"/>
          <w:numId w:val="3"/>
        </w:numPr>
        <w:tabs>
          <w:tab w:val="left" w:pos="624"/>
          <w:tab w:val="left" w:pos="1247"/>
          <w:tab w:val="left" w:pos="1814"/>
          <w:tab w:val="left" w:pos="2381"/>
          <w:tab w:val="left" w:pos="2948"/>
          <w:tab w:val="left" w:pos="3515"/>
        </w:tabs>
        <w:autoSpaceDE w:val="0"/>
        <w:autoSpaceDN w:val="0"/>
        <w:adjustRightInd w:val="0"/>
        <w:spacing w:after="120" w:line="240" w:lineRule="auto"/>
        <w:rPr>
          <w:rFonts w:ascii="Times New Roman" w:eastAsia="Times New Roman" w:hAnsi="Times New Roman" w:cs="Times New Roman"/>
          <w:sz w:val="18"/>
          <w:vertAlign w:val="superscript"/>
          <w:lang w:val="fr-CA"/>
        </w:rPr>
      </w:pPr>
      <w:r w:rsidRPr="004215FF">
        <w:rPr>
          <w:rFonts w:ascii="Times New Roman" w:eastAsia="Times New Roman" w:hAnsi="Times New Roman" w:cs="Times New Roman"/>
          <w:sz w:val="20"/>
          <w:szCs w:val="20"/>
          <w:lang w:val="fr-CA"/>
        </w:rPr>
        <w:t>Les observations soumises par les Parties et autres intéressés avant la neuvième réunion du Groupe de travail à composition non limitée</w:t>
      </w:r>
      <w:bookmarkStart w:id="20" w:name="_DV_C345"/>
      <w:bookmarkEnd w:id="18"/>
      <w:r w:rsidRPr="004215FF">
        <w:rPr>
          <w:rFonts w:ascii="Times New Roman" w:eastAsia="Times New Roman" w:hAnsi="Times New Roman" w:cs="Times New Roman"/>
          <w:sz w:val="20"/>
          <w:szCs w:val="20"/>
          <w:lang w:val="fr-CA"/>
        </w:rPr>
        <w:t>;</w:t>
      </w:r>
      <w:r w:rsidRPr="004215FF">
        <w:rPr>
          <w:rFonts w:ascii="Times New Roman" w:eastAsia="Times New Roman" w:hAnsi="Times New Roman" w:cs="Times New Roman"/>
          <w:sz w:val="20"/>
          <w:szCs w:val="18"/>
          <w:vertAlign w:val="superscript"/>
          <w:lang w:val="fr-CA"/>
        </w:rPr>
        <w:footnoteReference w:id="3"/>
      </w:r>
    </w:p>
    <w:p w:rsidR="004215FF" w:rsidRDefault="004215FF" w:rsidP="004215FF">
      <w:pPr>
        <w:numPr>
          <w:ilvl w:val="1"/>
          <w:numId w:val="3"/>
        </w:numPr>
        <w:tabs>
          <w:tab w:val="left" w:pos="624"/>
          <w:tab w:val="left" w:pos="1247"/>
          <w:tab w:val="left" w:pos="1814"/>
          <w:tab w:val="left" w:pos="2381"/>
          <w:tab w:val="left" w:pos="2948"/>
          <w:tab w:val="left" w:pos="3515"/>
        </w:tabs>
        <w:autoSpaceDE w:val="0"/>
        <w:autoSpaceDN w:val="0"/>
        <w:adjustRightInd w:val="0"/>
        <w:spacing w:after="120" w:line="240" w:lineRule="auto"/>
        <w:rPr>
          <w:rFonts w:ascii="Times New Roman" w:eastAsia="Times New Roman" w:hAnsi="Times New Roman" w:cs="Times New Roman"/>
          <w:sz w:val="20"/>
          <w:lang w:val="fr-CA"/>
        </w:rPr>
      </w:pPr>
      <w:bookmarkStart w:id="21" w:name="_DV_C346"/>
      <w:bookmarkEnd w:id="20"/>
      <w:r w:rsidRPr="004215FF">
        <w:rPr>
          <w:rFonts w:ascii="Times New Roman" w:eastAsia="Times New Roman" w:hAnsi="Times New Roman" w:cs="Times New Roman"/>
          <w:sz w:val="20"/>
          <w:szCs w:val="20"/>
          <w:lang w:val="fr-CA"/>
        </w:rPr>
        <w:t>Les observations soumises par les Parties et autres intéressés conformément au paragraphe 2 plus haut</w:t>
      </w:r>
      <w:r w:rsidRPr="004215FF">
        <w:rPr>
          <w:rFonts w:ascii="Times New Roman" w:eastAsia="Times New Roman" w:hAnsi="Times New Roman" w:cs="Times New Roman"/>
          <w:sz w:val="20"/>
          <w:lang w:val="fr-CA"/>
        </w:rPr>
        <w:t xml:space="preserve">; </w:t>
      </w:r>
      <w:bookmarkEnd w:id="21"/>
    </w:p>
    <w:p w:rsidR="0035083F" w:rsidRPr="004215FF" w:rsidRDefault="004215FF" w:rsidP="004215FF">
      <w:pPr>
        <w:numPr>
          <w:ilvl w:val="1"/>
          <w:numId w:val="3"/>
        </w:numPr>
        <w:tabs>
          <w:tab w:val="left" w:pos="624"/>
          <w:tab w:val="left" w:pos="1247"/>
          <w:tab w:val="left" w:pos="1814"/>
          <w:tab w:val="left" w:pos="2381"/>
          <w:tab w:val="left" w:pos="2948"/>
          <w:tab w:val="left" w:pos="3515"/>
        </w:tabs>
        <w:autoSpaceDE w:val="0"/>
        <w:autoSpaceDN w:val="0"/>
        <w:adjustRightInd w:val="0"/>
        <w:spacing w:after="120" w:line="240" w:lineRule="auto"/>
      </w:pPr>
      <w:r w:rsidRPr="004215FF">
        <w:rPr>
          <w:rFonts w:ascii="Times New Roman" w:eastAsia="Times New Roman" w:hAnsi="Times New Roman" w:cs="Times New Roman"/>
          <w:sz w:val="20"/>
          <w:szCs w:val="20"/>
          <w:lang w:val="fr-CA"/>
        </w:rPr>
        <w:t>Les vues exprimées par les Parties à la neuvième réunion du Groupe de travail à composition non limitée, dont l’importance de services d’interprétation pour les pays non anglophones.</w:t>
      </w:r>
    </w:p>
    <w:sectPr w:rsidR="0035083F" w:rsidRPr="004215FF" w:rsidSect="0035083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4AEF" w:rsidRDefault="00264AEF" w:rsidP="00264AEF">
      <w:pPr>
        <w:spacing w:after="0" w:line="240" w:lineRule="auto"/>
      </w:pPr>
      <w:r>
        <w:separator/>
      </w:r>
    </w:p>
  </w:endnote>
  <w:endnote w:type="continuationSeparator" w:id="0">
    <w:p w:rsidR="00264AEF" w:rsidRDefault="00264AEF" w:rsidP="00264A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4AEF" w:rsidRDefault="00264AEF" w:rsidP="00264AEF">
      <w:pPr>
        <w:spacing w:after="0" w:line="240" w:lineRule="auto"/>
      </w:pPr>
      <w:r>
        <w:separator/>
      </w:r>
    </w:p>
  </w:footnote>
  <w:footnote w:type="continuationSeparator" w:id="0">
    <w:p w:rsidR="00264AEF" w:rsidRDefault="00264AEF" w:rsidP="00264AEF">
      <w:pPr>
        <w:spacing w:after="0" w:line="240" w:lineRule="auto"/>
      </w:pPr>
      <w:r>
        <w:continuationSeparator/>
      </w:r>
    </w:p>
  </w:footnote>
  <w:footnote w:id="1">
    <w:p w:rsidR="004215FF" w:rsidRPr="00114AC9" w:rsidRDefault="004215FF" w:rsidP="004215FF">
      <w:pPr>
        <w:pStyle w:val="FootnoteText"/>
        <w:rPr>
          <w:lang w:val="fr-FR"/>
        </w:rPr>
      </w:pPr>
      <w:bookmarkStart w:id="4" w:name="_DV_C341"/>
      <w:r>
        <w:rPr>
          <w:rStyle w:val="FootnoteReference"/>
        </w:rPr>
        <w:footnoteRef/>
      </w:r>
      <w:r>
        <w:t xml:space="preserve"> </w:t>
      </w:r>
      <w:proofErr w:type="gramStart"/>
      <w:r w:rsidRPr="00114AC9">
        <w:rPr>
          <w:rStyle w:val="DeltaViewInsertion"/>
          <w:szCs w:val="18"/>
        </w:rPr>
        <w:t xml:space="preserve">UNEP/CHW/OEWG.9/5, </w:t>
      </w:r>
      <w:proofErr w:type="spellStart"/>
      <w:r w:rsidRPr="00114AC9">
        <w:rPr>
          <w:rStyle w:val="DeltaViewInsertion"/>
          <w:szCs w:val="18"/>
        </w:rPr>
        <w:t>annexe</w:t>
      </w:r>
      <w:proofErr w:type="spellEnd"/>
      <w:r w:rsidRPr="00114AC9">
        <w:rPr>
          <w:rStyle w:val="DeltaViewInsertion"/>
          <w:szCs w:val="18"/>
        </w:rPr>
        <w:t>.</w:t>
      </w:r>
      <w:proofErr w:type="gramEnd"/>
    </w:p>
  </w:footnote>
  <w:footnote w:id="2">
    <w:p w:rsidR="004215FF" w:rsidRPr="00114AC9" w:rsidRDefault="004215FF" w:rsidP="004215FF">
      <w:pPr>
        <w:pStyle w:val="FootnoteText"/>
        <w:rPr>
          <w:lang w:val="fr-FR"/>
        </w:rPr>
      </w:pPr>
      <w:bookmarkStart w:id="19" w:name="_DV_C344"/>
      <w:r>
        <w:rPr>
          <w:rStyle w:val="FootnoteReference"/>
        </w:rPr>
        <w:footnoteRef/>
      </w:r>
      <w:r>
        <w:t xml:space="preserve"> </w:t>
      </w:r>
      <w:r>
        <w:rPr>
          <w:lang w:val="fr-FR"/>
        </w:rPr>
        <w:t>Ibid.</w:t>
      </w:r>
    </w:p>
  </w:footnote>
  <w:footnote w:id="3">
    <w:p w:rsidR="004215FF" w:rsidRPr="00114AC9" w:rsidRDefault="004215FF" w:rsidP="004215FF">
      <w:pPr>
        <w:pStyle w:val="FootnoteText"/>
        <w:rPr>
          <w:lang w:val="fr-FR"/>
        </w:rPr>
      </w:pPr>
      <w:r>
        <w:rPr>
          <w:rStyle w:val="FootnoteReference"/>
        </w:rPr>
        <w:footnoteRef/>
      </w:r>
      <w:r>
        <w:t xml:space="preserve"> </w:t>
      </w:r>
      <w:r w:rsidRPr="00114AC9">
        <w:rPr>
          <w:rStyle w:val="DeltaViewInsertion"/>
          <w:szCs w:val="18"/>
        </w:rPr>
        <w:t>UNEP/CHW/OEWG.9/INF/5.</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7AA699B6"/>
    <w:lvl w:ilvl="0">
      <w:start w:val="1"/>
      <w:numFmt w:val="decimal"/>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ascii="Times New Roman" w:eastAsia="Times New Roman" w:hAnsi="Times New Roman" w:cs="Times New Roman"/>
        <w:vertAlign w:val="baseline"/>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nsid w:val="005019FC"/>
    <w:multiLevelType w:val="hybridMultilevel"/>
    <w:tmpl w:val="0AF4A99C"/>
    <w:lvl w:ilvl="0" w:tplc="7952D644">
      <w:start w:val="1"/>
      <w:numFmt w:val="decimal"/>
      <w:lvlText w:val="%1."/>
      <w:lvlJc w:val="left"/>
      <w:pPr>
        <w:ind w:left="1080" w:hanging="360"/>
      </w:pPr>
      <w:rPr>
        <w:rFonts w:ascii="Times New Roman" w:hAnsi="Times New Roman" w:cs="Times New Roman" w:hint="default"/>
        <w:b w:val="0"/>
        <w:sz w:val="20"/>
        <w:szCs w:val="20"/>
        <w:lang w:val="fr-FR"/>
      </w:rPr>
    </w:lvl>
    <w:lvl w:ilvl="1" w:tplc="0C0C0019" w:tentative="1">
      <w:start w:val="1"/>
      <w:numFmt w:val="lowerLetter"/>
      <w:lvlText w:val="%2."/>
      <w:lvlJc w:val="left"/>
      <w:pPr>
        <w:ind w:left="1800" w:hanging="360"/>
      </w:pPr>
    </w:lvl>
    <w:lvl w:ilvl="2" w:tplc="0C0C001B" w:tentative="1">
      <w:start w:val="1"/>
      <w:numFmt w:val="lowerRoman"/>
      <w:lvlText w:val="%3."/>
      <w:lvlJc w:val="right"/>
      <w:pPr>
        <w:ind w:left="2520" w:hanging="180"/>
      </w:pPr>
    </w:lvl>
    <w:lvl w:ilvl="3" w:tplc="0C0C000F" w:tentative="1">
      <w:start w:val="1"/>
      <w:numFmt w:val="decimal"/>
      <w:lvlText w:val="%4."/>
      <w:lvlJc w:val="left"/>
      <w:pPr>
        <w:ind w:left="3240" w:hanging="360"/>
      </w:pPr>
    </w:lvl>
    <w:lvl w:ilvl="4" w:tplc="0C0C0019" w:tentative="1">
      <w:start w:val="1"/>
      <w:numFmt w:val="lowerLetter"/>
      <w:lvlText w:val="%5."/>
      <w:lvlJc w:val="left"/>
      <w:pPr>
        <w:ind w:left="3960" w:hanging="360"/>
      </w:pPr>
    </w:lvl>
    <w:lvl w:ilvl="5" w:tplc="0C0C001B" w:tentative="1">
      <w:start w:val="1"/>
      <w:numFmt w:val="lowerRoman"/>
      <w:lvlText w:val="%6."/>
      <w:lvlJc w:val="right"/>
      <w:pPr>
        <w:ind w:left="4680" w:hanging="180"/>
      </w:pPr>
    </w:lvl>
    <w:lvl w:ilvl="6" w:tplc="0C0C000F" w:tentative="1">
      <w:start w:val="1"/>
      <w:numFmt w:val="decimal"/>
      <w:lvlText w:val="%7."/>
      <w:lvlJc w:val="left"/>
      <w:pPr>
        <w:ind w:left="5400" w:hanging="360"/>
      </w:pPr>
    </w:lvl>
    <w:lvl w:ilvl="7" w:tplc="0C0C0019" w:tentative="1">
      <w:start w:val="1"/>
      <w:numFmt w:val="lowerLetter"/>
      <w:lvlText w:val="%8."/>
      <w:lvlJc w:val="left"/>
      <w:pPr>
        <w:ind w:left="6120" w:hanging="360"/>
      </w:pPr>
    </w:lvl>
    <w:lvl w:ilvl="8" w:tplc="0C0C001B" w:tentative="1">
      <w:start w:val="1"/>
      <w:numFmt w:val="lowerRoman"/>
      <w:lvlText w:val="%9."/>
      <w:lvlJc w:val="right"/>
      <w:pPr>
        <w:ind w:left="6840" w:hanging="180"/>
      </w:pPr>
    </w:lvl>
  </w:abstractNum>
  <w:abstractNum w:abstractNumId="2">
    <w:nsid w:val="4167433E"/>
    <w:multiLevelType w:val="hybridMultilevel"/>
    <w:tmpl w:val="B9F461A4"/>
    <w:lvl w:ilvl="0" w:tplc="798A3CCE">
      <w:start w:val="1"/>
      <w:numFmt w:val="bullet"/>
      <w:lvlText w:val=""/>
      <w:lvlJc w:val="left"/>
      <w:pPr>
        <w:ind w:left="777" w:hanging="360"/>
      </w:pPr>
      <w:rPr>
        <w:rFonts w:ascii="Symbol" w:hAnsi="Symbol" w:hint="default"/>
      </w:rPr>
    </w:lvl>
    <w:lvl w:ilvl="1" w:tplc="0C0C0003" w:tentative="1">
      <w:start w:val="1"/>
      <w:numFmt w:val="bullet"/>
      <w:lvlText w:val="o"/>
      <w:lvlJc w:val="left"/>
      <w:pPr>
        <w:ind w:left="1497" w:hanging="360"/>
      </w:pPr>
      <w:rPr>
        <w:rFonts w:ascii="Courier New" w:hAnsi="Courier New" w:cs="Courier New" w:hint="default"/>
      </w:rPr>
    </w:lvl>
    <w:lvl w:ilvl="2" w:tplc="0C0C0005" w:tentative="1">
      <w:start w:val="1"/>
      <w:numFmt w:val="bullet"/>
      <w:lvlText w:val=""/>
      <w:lvlJc w:val="left"/>
      <w:pPr>
        <w:ind w:left="2217" w:hanging="360"/>
      </w:pPr>
      <w:rPr>
        <w:rFonts w:ascii="Wingdings" w:hAnsi="Wingdings" w:hint="default"/>
      </w:rPr>
    </w:lvl>
    <w:lvl w:ilvl="3" w:tplc="0C0C0001" w:tentative="1">
      <w:start w:val="1"/>
      <w:numFmt w:val="bullet"/>
      <w:lvlText w:val=""/>
      <w:lvlJc w:val="left"/>
      <w:pPr>
        <w:ind w:left="2937" w:hanging="360"/>
      </w:pPr>
      <w:rPr>
        <w:rFonts w:ascii="Symbol" w:hAnsi="Symbol" w:hint="default"/>
      </w:rPr>
    </w:lvl>
    <w:lvl w:ilvl="4" w:tplc="0C0C0003" w:tentative="1">
      <w:start w:val="1"/>
      <w:numFmt w:val="bullet"/>
      <w:lvlText w:val="o"/>
      <w:lvlJc w:val="left"/>
      <w:pPr>
        <w:ind w:left="3657" w:hanging="360"/>
      </w:pPr>
      <w:rPr>
        <w:rFonts w:ascii="Courier New" w:hAnsi="Courier New" w:cs="Courier New" w:hint="default"/>
      </w:rPr>
    </w:lvl>
    <w:lvl w:ilvl="5" w:tplc="0C0C0005" w:tentative="1">
      <w:start w:val="1"/>
      <w:numFmt w:val="bullet"/>
      <w:lvlText w:val=""/>
      <w:lvlJc w:val="left"/>
      <w:pPr>
        <w:ind w:left="4377" w:hanging="360"/>
      </w:pPr>
      <w:rPr>
        <w:rFonts w:ascii="Wingdings" w:hAnsi="Wingdings" w:hint="default"/>
      </w:rPr>
    </w:lvl>
    <w:lvl w:ilvl="6" w:tplc="0C0C0001" w:tentative="1">
      <w:start w:val="1"/>
      <w:numFmt w:val="bullet"/>
      <w:lvlText w:val=""/>
      <w:lvlJc w:val="left"/>
      <w:pPr>
        <w:ind w:left="5097" w:hanging="360"/>
      </w:pPr>
      <w:rPr>
        <w:rFonts w:ascii="Symbol" w:hAnsi="Symbol" w:hint="default"/>
      </w:rPr>
    </w:lvl>
    <w:lvl w:ilvl="7" w:tplc="0C0C0003" w:tentative="1">
      <w:start w:val="1"/>
      <w:numFmt w:val="bullet"/>
      <w:lvlText w:val="o"/>
      <w:lvlJc w:val="left"/>
      <w:pPr>
        <w:ind w:left="5817" w:hanging="360"/>
      </w:pPr>
      <w:rPr>
        <w:rFonts w:ascii="Courier New" w:hAnsi="Courier New" w:cs="Courier New" w:hint="default"/>
      </w:rPr>
    </w:lvl>
    <w:lvl w:ilvl="8" w:tplc="0C0C0005" w:tentative="1">
      <w:start w:val="1"/>
      <w:numFmt w:val="bullet"/>
      <w:lvlText w:val=""/>
      <w:lvlJc w:val="left"/>
      <w:pPr>
        <w:ind w:left="6537"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spelling="clean" w:grammar="clean"/>
  <w:defaultTabStop w:val="720"/>
  <w:characterSpacingControl w:val="doNotCompress"/>
  <w:footnotePr>
    <w:footnote w:id="-1"/>
    <w:footnote w:id="0"/>
  </w:footnotePr>
  <w:endnotePr>
    <w:endnote w:id="-1"/>
    <w:endnote w:id="0"/>
  </w:endnotePr>
  <w:compat/>
  <w:rsids>
    <w:rsidRoot w:val="00F553CC"/>
    <w:rsid w:val="00264AEF"/>
    <w:rsid w:val="0035083F"/>
    <w:rsid w:val="004215FF"/>
    <w:rsid w:val="00901263"/>
    <w:rsid w:val="00A678FE"/>
    <w:rsid w:val="00F553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8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2">
    <w:name w:val="CH2"/>
    <w:basedOn w:val="Normal"/>
    <w:next w:val="Normal"/>
    <w:link w:val="CH2Char"/>
    <w:rsid w:val="00F553CC"/>
    <w:pPr>
      <w:keepNext/>
      <w:keepLines/>
      <w:tabs>
        <w:tab w:val="right" w:pos="851"/>
        <w:tab w:val="left" w:pos="1247"/>
        <w:tab w:val="left" w:pos="1814"/>
        <w:tab w:val="left" w:pos="2381"/>
        <w:tab w:val="left" w:pos="2948"/>
        <w:tab w:val="left" w:pos="3515"/>
      </w:tabs>
      <w:suppressAutoHyphens/>
      <w:spacing w:before="120" w:after="120" w:line="240" w:lineRule="auto"/>
      <w:ind w:left="1247" w:right="284" w:hanging="1247"/>
    </w:pPr>
    <w:rPr>
      <w:rFonts w:ascii="Times New Roman" w:eastAsia="Times New Roman" w:hAnsi="Times New Roman" w:cs="Times New Roman"/>
      <w:b/>
      <w:sz w:val="24"/>
      <w:szCs w:val="24"/>
      <w:lang w:val="en-GB"/>
    </w:rPr>
  </w:style>
  <w:style w:type="paragraph" w:customStyle="1" w:styleId="BBTitle">
    <w:name w:val="BB_Title"/>
    <w:basedOn w:val="Normal"/>
    <w:link w:val="BBTitleChar"/>
    <w:rsid w:val="00F553CC"/>
    <w:pPr>
      <w:keepNext/>
      <w:keepLines/>
      <w:tabs>
        <w:tab w:val="left" w:pos="1247"/>
        <w:tab w:val="left" w:pos="1814"/>
        <w:tab w:val="left" w:pos="2381"/>
        <w:tab w:val="left" w:pos="2948"/>
        <w:tab w:val="left" w:pos="3515"/>
      </w:tabs>
      <w:suppressAutoHyphens/>
      <w:spacing w:before="320" w:after="240" w:line="240" w:lineRule="auto"/>
      <w:ind w:left="1247" w:right="567"/>
    </w:pPr>
    <w:rPr>
      <w:rFonts w:ascii="Times New Roman" w:eastAsia="Times New Roman" w:hAnsi="Times New Roman" w:cs="Times New Roman"/>
      <w:b/>
      <w:sz w:val="28"/>
      <w:szCs w:val="28"/>
      <w:lang w:val="en-GB"/>
    </w:rPr>
  </w:style>
  <w:style w:type="character" w:customStyle="1" w:styleId="BBTitleChar">
    <w:name w:val="BB_Title Char"/>
    <w:link w:val="BBTitle"/>
    <w:rsid w:val="00F553CC"/>
    <w:rPr>
      <w:rFonts w:ascii="Times New Roman" w:eastAsia="Times New Roman" w:hAnsi="Times New Roman" w:cs="Times New Roman"/>
      <w:b/>
      <w:sz w:val="28"/>
      <w:szCs w:val="28"/>
      <w:lang w:val="en-GB"/>
    </w:rPr>
  </w:style>
  <w:style w:type="character" w:customStyle="1" w:styleId="CH2Char">
    <w:name w:val="CH2 Char"/>
    <w:link w:val="CH2"/>
    <w:rsid w:val="00F553CC"/>
    <w:rPr>
      <w:rFonts w:ascii="Times New Roman" w:eastAsia="Times New Roman" w:hAnsi="Times New Roman" w:cs="Times New Roman"/>
      <w:b/>
      <w:sz w:val="24"/>
      <w:szCs w:val="24"/>
      <w:lang w:val="en-GB"/>
    </w:rPr>
  </w:style>
  <w:style w:type="paragraph" w:styleId="FootnoteText">
    <w:name w:val="footnote text"/>
    <w:basedOn w:val="Normal"/>
    <w:link w:val="FootnoteTextChar"/>
    <w:uiPriority w:val="99"/>
    <w:semiHidden/>
    <w:unhideWhenUsed/>
    <w:rsid w:val="00264A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4AEF"/>
    <w:rPr>
      <w:sz w:val="20"/>
      <w:szCs w:val="20"/>
    </w:rPr>
  </w:style>
  <w:style w:type="character" w:styleId="FootnoteReference">
    <w:name w:val="footnote reference"/>
    <w:aliases w:val="16 Point,Superscript 6 Point,ftref,(Ref. de nota al pie),number,SUPERS,Footnote Reference Superscript,Ref,de nota al pie,EN Footnote Reference,Times 10 Point,Exposant 3 Point,Footnote symbol,Footnote reference number,note TESI,stylish"/>
    <w:rsid w:val="00264AEF"/>
    <w:rPr>
      <w:rFonts w:ascii="Times New Roman" w:hAnsi="Times New Roman"/>
      <w:color w:val="auto"/>
      <w:sz w:val="20"/>
      <w:szCs w:val="18"/>
      <w:vertAlign w:val="superscript"/>
    </w:rPr>
  </w:style>
  <w:style w:type="character" w:customStyle="1" w:styleId="DeltaViewInsertion">
    <w:name w:val="DeltaView Insertion"/>
    <w:uiPriority w:val="99"/>
    <w:rsid w:val="004215FF"/>
    <w:rPr>
      <w:color w:val="0000FF"/>
      <w:u w:val="doub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405</Words>
  <Characters>2289</Characters>
  <Application>Microsoft Office Word</Application>
  <DocSecurity>0</DocSecurity>
  <Lines>91</Lines>
  <Paragraphs>21</Paragraphs>
  <ScaleCrop>false</ScaleCrop>
  <Company>BRS</Company>
  <LinksUpToDate>false</LinksUpToDate>
  <CharactersWithSpaces>2673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cbottollier</dc:creator>
  <cp:lastModifiedBy>cbottollier</cp:lastModifiedBy>
  <cp:revision>2</cp:revision>
  <dcterms:created xsi:type="dcterms:W3CDTF">2015-09-04T15:30:00Z</dcterms:created>
  <dcterms:modified xsi:type="dcterms:W3CDTF">2015-09-04T15:30:00Z</dcterms:modified>
</cp:coreProperties>
</file>