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E6" w:rsidRPr="00B466E6" w:rsidRDefault="00B466E6" w:rsidP="00B466E6">
      <w:pPr>
        <w:keepNext/>
        <w:keepLines/>
        <w:ind w:left="1247" w:right="284"/>
        <w:rPr>
          <w:b/>
          <w:sz w:val="28"/>
          <w:szCs w:val="28"/>
        </w:rPr>
      </w:pPr>
      <w:r w:rsidRPr="00B466E6">
        <w:rPr>
          <w:b/>
          <w:sz w:val="28"/>
          <w:szCs w:val="28"/>
        </w:rPr>
        <w:t>РГОС-9/2: Варианты функционирования Рабочей группы открытого состава</w:t>
      </w:r>
    </w:p>
    <w:p w:rsidR="00B466E6" w:rsidRPr="00B466E6" w:rsidRDefault="00B466E6" w:rsidP="00B466E6">
      <w:pPr>
        <w:keepNext/>
        <w:keepLines/>
        <w:ind w:left="1247" w:firstLine="624"/>
        <w:rPr>
          <w:i/>
        </w:rPr>
      </w:pPr>
      <w:r w:rsidRPr="00B466E6">
        <w:rPr>
          <w:i/>
        </w:rPr>
        <w:t>Рабочая группа открытого состава,</w:t>
      </w:r>
    </w:p>
    <w:p w:rsidR="00B466E6" w:rsidRPr="00B466E6" w:rsidRDefault="00B466E6" w:rsidP="00B466E6">
      <w:pPr>
        <w:ind w:left="1247" w:firstLine="624"/>
        <w:rPr>
          <w:color w:val="000000"/>
        </w:rPr>
      </w:pPr>
      <w:r w:rsidRPr="00B466E6">
        <w:rPr>
          <w:i/>
          <w:color w:val="000000"/>
        </w:rPr>
        <w:tab/>
        <w:t>отмечая</w:t>
      </w:r>
      <w:r w:rsidRPr="00B466E6">
        <w:rPr>
          <w:color w:val="000000"/>
        </w:rPr>
        <w:t xml:space="preserve"> стремление Сторон обеспечить транспарентный, инклюзивный и эффективный процесс принятия решений в рамках Рабочей группы открытого состава, позволяющий всем регионам эффективно участвовать в обсуждениях,</w:t>
      </w:r>
    </w:p>
    <w:p w:rsidR="00B466E6" w:rsidRPr="00B466E6" w:rsidRDefault="00B466E6" w:rsidP="00B466E6">
      <w:pPr>
        <w:ind w:left="1247" w:firstLine="624"/>
        <w:rPr>
          <w:color w:val="000000"/>
        </w:rPr>
      </w:pPr>
      <w:r w:rsidRPr="00B466E6">
        <w:rPr>
          <w:color w:val="000000"/>
        </w:rPr>
        <w:tab/>
      </w:r>
      <w:r w:rsidRPr="00B466E6">
        <w:rPr>
          <w:i/>
          <w:color w:val="000000"/>
        </w:rPr>
        <w:t>признавая</w:t>
      </w:r>
      <w:r w:rsidRPr="00B466E6">
        <w:rPr>
          <w:color w:val="000000"/>
        </w:rPr>
        <w:t xml:space="preserve"> широту мандата Рабочей группы открытого состава, охватывающего технические, правовые и стратегические вопросы в рамках подготовки к обсуждению на совещаниях Конференции Сторон,</w:t>
      </w:r>
    </w:p>
    <w:p w:rsidR="00B466E6" w:rsidRPr="00B466E6" w:rsidRDefault="00B466E6" w:rsidP="00B466E6">
      <w:pPr>
        <w:ind w:left="1247" w:firstLine="624"/>
        <w:rPr>
          <w:color w:val="000000"/>
        </w:rPr>
      </w:pPr>
      <w:r w:rsidRPr="00B466E6">
        <w:rPr>
          <w:color w:val="000000"/>
        </w:rPr>
        <w:t>1.</w:t>
      </w:r>
      <w:r w:rsidRPr="00B466E6">
        <w:rPr>
          <w:color w:val="000000"/>
        </w:rPr>
        <w:tab/>
      </w:r>
      <w:r w:rsidRPr="00B466E6">
        <w:rPr>
          <w:i/>
          <w:color w:val="000000"/>
        </w:rPr>
        <w:t>приветствует</w:t>
      </w:r>
      <w:r w:rsidRPr="00B466E6">
        <w:rPr>
          <w:color w:val="000000"/>
        </w:rPr>
        <w:t xml:space="preserve"> подготовленный секретариатом анализ возможных вариантов будущих организационных мероприятий</w:t>
      </w:r>
      <w:r w:rsidRPr="00B466E6">
        <w:rPr>
          <w:vertAlign w:val="superscript"/>
        </w:rPr>
        <w:footnoteReference w:id="1"/>
      </w:r>
      <w:r w:rsidRPr="00B466E6">
        <w:rPr>
          <w:color w:val="000000"/>
        </w:rPr>
        <w:t>;</w:t>
      </w:r>
    </w:p>
    <w:p w:rsidR="00B466E6" w:rsidRPr="00B466E6" w:rsidRDefault="00B466E6" w:rsidP="00B466E6">
      <w:pPr>
        <w:ind w:left="1247" w:firstLine="624"/>
        <w:rPr>
          <w:color w:val="000000"/>
        </w:rPr>
      </w:pPr>
      <w:r w:rsidRPr="00B466E6">
        <w:rPr>
          <w:color w:val="000000"/>
        </w:rPr>
        <w:t>2.</w:t>
      </w:r>
      <w:r w:rsidRPr="00B466E6">
        <w:rPr>
          <w:color w:val="000000"/>
        </w:rPr>
        <w:tab/>
      </w:r>
      <w:r w:rsidRPr="00B466E6">
        <w:rPr>
          <w:i/>
          <w:color w:val="000000"/>
        </w:rPr>
        <w:t>предлагает</w:t>
      </w:r>
      <w:r w:rsidRPr="00B466E6">
        <w:rPr>
          <w:color w:val="000000"/>
        </w:rPr>
        <w:t xml:space="preserve"> Сторонам и другим субъектам представить секретариату до 30 ноября 2014 года любые замечания относительно организации девятого совещания Рабочей группы открытого состава; </w:t>
      </w:r>
    </w:p>
    <w:p w:rsidR="00B466E6" w:rsidRPr="00B466E6" w:rsidRDefault="00B466E6" w:rsidP="00B466E6">
      <w:pPr>
        <w:ind w:left="1247" w:firstLine="624"/>
        <w:rPr>
          <w:color w:val="000000"/>
        </w:rPr>
      </w:pPr>
      <w:r w:rsidRPr="00B466E6">
        <w:rPr>
          <w:color w:val="000000"/>
        </w:rPr>
        <w:t>3.</w:t>
      </w:r>
      <w:r w:rsidRPr="00B466E6">
        <w:rPr>
          <w:color w:val="000000"/>
        </w:rPr>
        <w:tab/>
      </w:r>
      <w:r w:rsidRPr="00B466E6">
        <w:rPr>
          <w:i/>
          <w:color w:val="000000"/>
        </w:rPr>
        <w:t>просит</w:t>
      </w:r>
      <w:r w:rsidRPr="00B466E6">
        <w:rPr>
          <w:color w:val="000000"/>
        </w:rPr>
        <w:t xml:space="preserve"> секретариат собрать любые замечания, полученные от Сторон и других участников во исполнение предыдущего пункта, и представить их для сведения Конференции Сторон на ее двенадцатом совещании;</w:t>
      </w:r>
    </w:p>
    <w:p w:rsidR="00B466E6" w:rsidRPr="00B466E6" w:rsidRDefault="00B466E6" w:rsidP="00B466E6">
      <w:pPr>
        <w:ind w:left="1247" w:firstLine="624"/>
      </w:pPr>
      <w:r w:rsidRPr="00B466E6">
        <w:rPr>
          <w:color w:val="000000"/>
        </w:rPr>
        <w:t>4.</w:t>
      </w:r>
      <w:r w:rsidRPr="00B466E6">
        <w:rPr>
          <w:color w:val="000000"/>
        </w:rPr>
        <w:tab/>
      </w:r>
      <w:r w:rsidRPr="00B466E6">
        <w:rPr>
          <w:i/>
          <w:color w:val="000000"/>
        </w:rPr>
        <w:t>приходит к заключению</w:t>
      </w:r>
      <w:r w:rsidRPr="00B466E6">
        <w:rPr>
          <w:color w:val="000000"/>
        </w:rPr>
        <w:t>, что вместе с замечаниями, которые будут представлены в соответствии с пунктом 2 выше, данный анализ заложит прочную основу для принятия Конференцией Сторон решения относительно возможных вариантов будущих организационных мероприятий, связанных с функционированием Рабочей группы открытого состава;</w:t>
      </w:r>
    </w:p>
    <w:p w:rsidR="00B466E6" w:rsidRPr="00B466E6" w:rsidRDefault="00B466E6" w:rsidP="00B466E6">
      <w:pPr>
        <w:ind w:left="1247" w:firstLine="624"/>
      </w:pPr>
      <w:r w:rsidRPr="00B466E6">
        <w:t>5.</w:t>
      </w:r>
      <w:r w:rsidRPr="00B466E6">
        <w:tab/>
      </w:r>
      <w:r w:rsidRPr="00B466E6">
        <w:rPr>
          <w:i/>
        </w:rPr>
        <w:t>отмечает</w:t>
      </w:r>
      <w:r w:rsidRPr="00B466E6">
        <w:t>, что на девятом совещании Рабочей группы открытого состава Сторонами были высказаны различные мнения в отношении вариантов;</w:t>
      </w:r>
    </w:p>
    <w:p w:rsidR="00B466E6" w:rsidRPr="00B466E6" w:rsidRDefault="00B466E6" w:rsidP="00B466E6">
      <w:pPr>
        <w:ind w:left="1247" w:firstLine="624"/>
      </w:pPr>
      <w:r w:rsidRPr="00B466E6">
        <w:rPr>
          <w:color w:val="000000"/>
        </w:rPr>
        <w:t>6.</w:t>
      </w:r>
      <w:r w:rsidRPr="00B466E6">
        <w:rPr>
          <w:color w:val="000000"/>
        </w:rPr>
        <w:tab/>
      </w:r>
      <w:r w:rsidRPr="00B466E6">
        <w:rPr>
          <w:i/>
          <w:color w:val="000000"/>
        </w:rPr>
        <w:t>соглашается</w:t>
      </w:r>
      <w:r w:rsidRPr="00B466E6">
        <w:rPr>
          <w:color w:val="000000"/>
        </w:rPr>
        <w:t xml:space="preserve"> с тем, что следует учитывать опыт организации девятого совещания Рабочей группы открытого состава, прежде чем будет принято решение относительно будущих организационных мероприятий, связанных с функционированием Рабочей группы открытого состава;</w:t>
      </w:r>
    </w:p>
    <w:p w:rsidR="00B466E6" w:rsidRPr="00B466E6" w:rsidRDefault="00B466E6" w:rsidP="00B466E6">
      <w:pPr>
        <w:ind w:left="1247" w:firstLine="624"/>
        <w:rPr>
          <w:color w:val="000000"/>
        </w:rPr>
      </w:pPr>
      <w:r w:rsidRPr="00B466E6">
        <w:rPr>
          <w:color w:val="000000"/>
        </w:rPr>
        <w:t>7.</w:t>
      </w:r>
      <w:r w:rsidRPr="00B466E6">
        <w:rPr>
          <w:color w:val="000000"/>
        </w:rPr>
        <w:tab/>
      </w:r>
      <w:r w:rsidRPr="00B466E6">
        <w:rPr>
          <w:i/>
          <w:color w:val="000000"/>
        </w:rPr>
        <w:t>рекомендует</w:t>
      </w:r>
      <w:r w:rsidRPr="00B466E6">
        <w:rPr>
          <w:color w:val="000000"/>
        </w:rPr>
        <w:t xml:space="preserve"> Конференции Сторон на ее двенадцатом совещании принять решение о будущих организационных мероприятиях, связанных с функционированием Рабочей группы открытого состава, принимая во внимание:</w:t>
      </w:r>
    </w:p>
    <w:p w:rsidR="00B466E6" w:rsidRPr="00B466E6" w:rsidRDefault="00B466E6" w:rsidP="00B466E6">
      <w:pPr>
        <w:ind w:left="1247" w:firstLine="624"/>
        <w:rPr>
          <w:color w:val="000000"/>
        </w:rPr>
      </w:pPr>
      <w:r w:rsidRPr="00B466E6">
        <w:t>а)</w:t>
      </w:r>
      <w:r w:rsidRPr="00B466E6">
        <w:tab/>
        <w:t>подготовленный секретариатом анализ</w:t>
      </w:r>
      <w:r w:rsidRPr="00B466E6">
        <w:rPr>
          <w:vertAlign w:val="superscript"/>
        </w:rPr>
        <w:footnoteReference w:id="2"/>
      </w:r>
      <w:r w:rsidRPr="00B466E6">
        <w:t>;</w:t>
      </w:r>
    </w:p>
    <w:p w:rsidR="00B466E6" w:rsidRPr="00B466E6" w:rsidRDefault="00B466E6" w:rsidP="00B466E6">
      <w:pPr>
        <w:ind w:left="1247" w:firstLine="624"/>
        <w:rPr>
          <w:color w:val="000000"/>
          <w:vertAlign w:val="superscript"/>
        </w:rPr>
      </w:pPr>
      <w:r w:rsidRPr="00B466E6">
        <w:rPr>
          <w:lang w:val="en-US"/>
        </w:rPr>
        <w:t>b</w:t>
      </w:r>
      <w:r w:rsidRPr="00B466E6">
        <w:t>)</w:t>
      </w:r>
      <w:r w:rsidRPr="00B466E6">
        <w:tab/>
      </w:r>
      <w:proofErr w:type="gramStart"/>
      <w:r w:rsidRPr="00B466E6">
        <w:t>замечания</w:t>
      </w:r>
      <w:proofErr w:type="gramEnd"/>
      <w:r w:rsidRPr="00B466E6">
        <w:t>, представленные Сторонами и другими субъектами до девятого совещания Рабочей группы открытого состава</w:t>
      </w:r>
      <w:r w:rsidRPr="00B466E6">
        <w:rPr>
          <w:vertAlign w:val="superscript"/>
        </w:rPr>
        <w:footnoteReference w:id="3"/>
      </w:r>
      <w:r w:rsidRPr="00B466E6">
        <w:t>;</w:t>
      </w:r>
    </w:p>
    <w:p w:rsidR="00B466E6" w:rsidRPr="00B466E6" w:rsidRDefault="00B466E6" w:rsidP="00B466E6">
      <w:pPr>
        <w:ind w:left="1247" w:firstLine="624"/>
        <w:rPr>
          <w:color w:val="000000"/>
        </w:rPr>
      </w:pPr>
      <w:r w:rsidRPr="00B466E6">
        <w:t>с)</w:t>
      </w:r>
      <w:r w:rsidRPr="00B466E6">
        <w:tab/>
        <w:t>замечания, представленные Сторонами и другими субъектами во исполнение пункта 2 выше;</w:t>
      </w:r>
    </w:p>
    <w:p w:rsidR="006C2D58" w:rsidRPr="00B466E6" w:rsidRDefault="00B466E6" w:rsidP="00B466E6">
      <w:pPr>
        <w:ind w:left="1247" w:firstLine="624"/>
      </w:pPr>
      <w:r w:rsidRPr="00B466E6">
        <w:rPr>
          <w:color w:val="000000"/>
          <w:lang w:val="en-US"/>
        </w:rPr>
        <w:t>d</w:t>
      </w:r>
      <w:r w:rsidRPr="00B466E6">
        <w:rPr>
          <w:color w:val="000000"/>
        </w:rPr>
        <w:t>)</w:t>
      </w:r>
      <w:r w:rsidRPr="00B466E6">
        <w:rPr>
          <w:color w:val="000000"/>
        </w:rPr>
        <w:tab/>
      </w:r>
      <w:proofErr w:type="gramStart"/>
      <w:r w:rsidRPr="00B466E6">
        <w:rPr>
          <w:color w:val="000000"/>
        </w:rPr>
        <w:t>мнения</w:t>
      </w:r>
      <w:proofErr w:type="gramEnd"/>
      <w:r w:rsidRPr="00B466E6">
        <w:rPr>
          <w:color w:val="000000"/>
        </w:rPr>
        <w:t xml:space="preserve">, выраженные </w:t>
      </w:r>
      <w:r w:rsidRPr="00B466E6">
        <w:t>Сторонами</w:t>
      </w:r>
      <w:r w:rsidRPr="00B466E6">
        <w:rPr>
          <w:color w:val="000000"/>
        </w:rPr>
        <w:t xml:space="preserve"> на девятом совещании Рабочей группы открытого состава, в том числе о важности устного перевода для неанглоговорящих стран.</w:t>
      </w:r>
    </w:p>
    <w:sectPr w:rsidR="006C2D58" w:rsidRPr="00B466E6" w:rsidSect="006C2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0A" w:rsidRDefault="0055770A" w:rsidP="0055770A">
      <w:pPr>
        <w:spacing w:after="0"/>
      </w:pPr>
      <w:r>
        <w:separator/>
      </w:r>
    </w:p>
  </w:endnote>
  <w:endnote w:type="continuationSeparator" w:id="0">
    <w:p w:rsidR="0055770A" w:rsidRDefault="0055770A" w:rsidP="005577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0A" w:rsidRDefault="0055770A" w:rsidP="0055770A">
      <w:pPr>
        <w:spacing w:after="0"/>
      </w:pPr>
      <w:r>
        <w:separator/>
      </w:r>
    </w:p>
  </w:footnote>
  <w:footnote w:type="continuationSeparator" w:id="0">
    <w:p w:rsidR="0055770A" w:rsidRDefault="0055770A" w:rsidP="0055770A">
      <w:pPr>
        <w:spacing w:after="0"/>
      </w:pPr>
      <w:r>
        <w:continuationSeparator/>
      </w:r>
    </w:p>
  </w:footnote>
  <w:footnote w:id="1">
    <w:p w:rsidR="00B466E6" w:rsidRPr="005C7D74" w:rsidRDefault="00B466E6" w:rsidP="00B466E6">
      <w:pPr>
        <w:pStyle w:val="FootnoteText"/>
        <w:spacing w:before="20" w:after="40"/>
        <w:ind w:left="1247"/>
        <w:rPr>
          <w:sz w:val="18"/>
          <w:szCs w:val="18"/>
        </w:rPr>
      </w:pPr>
      <w:r w:rsidRPr="005C7D74">
        <w:rPr>
          <w:rStyle w:val="FootnoteReference"/>
          <w:sz w:val="18"/>
          <w:szCs w:val="18"/>
        </w:rPr>
        <w:footnoteRef/>
      </w:r>
      <w:r w:rsidRPr="005C7D74">
        <w:rPr>
          <w:sz w:val="18"/>
          <w:szCs w:val="18"/>
        </w:rPr>
        <w:tab/>
        <w:t>UNEP/CHW/OEWG.9/5, приложение.</w:t>
      </w:r>
    </w:p>
  </w:footnote>
  <w:footnote w:id="2">
    <w:p w:rsidR="00B466E6" w:rsidRPr="005C7D74" w:rsidRDefault="00B466E6" w:rsidP="00B466E6">
      <w:pPr>
        <w:pStyle w:val="FootnoteText"/>
        <w:spacing w:before="20" w:after="40"/>
        <w:ind w:left="1247"/>
        <w:rPr>
          <w:sz w:val="18"/>
          <w:szCs w:val="18"/>
        </w:rPr>
      </w:pPr>
      <w:r w:rsidRPr="005C7D74">
        <w:rPr>
          <w:rStyle w:val="FootnoteReference"/>
          <w:sz w:val="18"/>
          <w:szCs w:val="18"/>
        </w:rPr>
        <w:footnoteRef/>
      </w:r>
      <w:r w:rsidRPr="005C7D74">
        <w:rPr>
          <w:sz w:val="18"/>
          <w:szCs w:val="18"/>
        </w:rPr>
        <w:tab/>
      </w:r>
      <w:r w:rsidRPr="005C7D74">
        <w:rPr>
          <w:sz w:val="18"/>
          <w:szCs w:val="18"/>
        </w:rPr>
        <w:t>Там же.</w:t>
      </w:r>
    </w:p>
  </w:footnote>
  <w:footnote w:id="3">
    <w:p w:rsidR="00B466E6" w:rsidRPr="005C7D74" w:rsidRDefault="00B466E6" w:rsidP="00B466E6">
      <w:pPr>
        <w:pStyle w:val="FootnoteText"/>
        <w:spacing w:before="20" w:after="40"/>
        <w:ind w:left="1247"/>
        <w:rPr>
          <w:sz w:val="18"/>
          <w:szCs w:val="18"/>
        </w:rPr>
      </w:pPr>
      <w:r w:rsidRPr="005C7D74">
        <w:rPr>
          <w:rStyle w:val="FootnoteReference"/>
          <w:sz w:val="18"/>
          <w:szCs w:val="18"/>
        </w:rPr>
        <w:footnoteRef/>
      </w:r>
      <w:r w:rsidRPr="005C7D74">
        <w:rPr>
          <w:sz w:val="18"/>
          <w:szCs w:val="18"/>
        </w:rPr>
        <w:tab/>
      </w:r>
      <w:r w:rsidRPr="005C7D74">
        <w:rPr>
          <w:sz w:val="18"/>
          <w:szCs w:val="18"/>
        </w:rPr>
        <w:t>UNEP/CHW/OEWG.9/INF/5.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A21"/>
    <w:rsid w:val="00433A21"/>
    <w:rsid w:val="0055770A"/>
    <w:rsid w:val="006C2D58"/>
    <w:rsid w:val="008643BF"/>
    <w:rsid w:val="00B46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A2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fn,Footnotes,ft,fn cafc,Footnote ak,fn Char,footnote text Char,Footnotes Char,Footnote ak Char,footnote citation,Footnotes Char Char,Footnote Text Char Char,fn Char Char,ft Char,fn cafc Char,DNV-FT,text,92"/>
    <w:basedOn w:val="Normal"/>
    <w:link w:val="FootnoteTextChar"/>
    <w:rsid w:val="0055770A"/>
    <w:rPr>
      <w:lang/>
    </w:rPr>
  </w:style>
  <w:style w:type="character" w:customStyle="1" w:styleId="FootnoteTextChar">
    <w:name w:val="Footnote Text Char"/>
    <w:aliases w:val="Geneva 9 Char,Font: Geneva 9 Char,Boston 10 Char,f Char,DNV-FT Char,footnote3 Char,text Char,Geneva Char,92 Char,Font: Char,Boston Char,10 Char,FOOTNOTES Char,single space Char,Footnote Text Rail EIS Char"/>
    <w:basedOn w:val="DefaultParagraphFont"/>
    <w:link w:val="FootnoteText"/>
    <w:rsid w:val="0055770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55770A"/>
    <w:rPr>
      <w:rFonts w:ascii="Times New Roman" w:hAnsi="Times New Roman"/>
      <w:noProof w:val="0"/>
      <w:sz w:val="22"/>
      <w:vertAlign w:val="superscript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1978</Characters>
  <Application>Microsoft Office Word</Application>
  <DocSecurity>0</DocSecurity>
  <Lines>16</Lines>
  <Paragraphs>4</Paragraphs>
  <ScaleCrop>false</ScaleCrop>
  <Company>BRS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cp:lastPrinted>2015-09-04T15:45:00Z</cp:lastPrinted>
  <dcterms:created xsi:type="dcterms:W3CDTF">2015-09-04T15:45:00Z</dcterms:created>
  <dcterms:modified xsi:type="dcterms:W3CDTF">2015-09-04T15:45:00Z</dcterms:modified>
</cp:coreProperties>
</file>