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369" w:rsidRPr="00245369" w:rsidRDefault="00245369" w:rsidP="00245369">
      <w:pPr>
        <w:keepNext/>
        <w:keepLines/>
        <w:tabs>
          <w:tab w:val="left" w:pos="1247"/>
          <w:tab w:val="left" w:pos="1814"/>
          <w:tab w:val="left" w:pos="2381"/>
          <w:tab w:val="left" w:pos="2948"/>
          <w:tab w:val="left" w:pos="3515"/>
        </w:tabs>
        <w:spacing w:before="240" w:after="120" w:line="240" w:lineRule="auto"/>
        <w:ind w:left="1247"/>
        <w:rPr>
          <w:rFonts w:ascii="Times New Roman" w:eastAsia="Times New Roman" w:hAnsi="Times New Roman" w:cs="Times New Roman"/>
          <w:b/>
          <w:sz w:val="28"/>
          <w:szCs w:val="28"/>
          <w:lang w:val="es-ES"/>
        </w:rPr>
      </w:pPr>
      <w:r w:rsidRPr="00245369">
        <w:rPr>
          <w:rFonts w:ascii="Times New Roman" w:eastAsia="Times New Roman" w:hAnsi="Times New Roman" w:cs="Times New Roman"/>
          <w:b/>
          <w:sz w:val="28"/>
          <w:szCs w:val="28"/>
          <w:lang w:val="es-ES"/>
        </w:rPr>
        <w:t>OEWG</w:t>
      </w:r>
      <w:r w:rsidRPr="00245369">
        <w:rPr>
          <w:rFonts w:ascii="Times New Roman" w:eastAsia="Times New Roman" w:hAnsi="Times New Roman" w:cs="Times New Roman"/>
          <w:b/>
          <w:sz w:val="28"/>
          <w:szCs w:val="28"/>
          <w:lang w:val="es-ES"/>
        </w:rPr>
        <w:noBreakHyphen/>
        <w:t>9/2: Opciones para el funcionamiento del Grupo de Trabajo de composición abierta</w:t>
      </w:r>
    </w:p>
    <w:p w:rsidR="00245369" w:rsidRPr="00245369" w:rsidRDefault="00245369" w:rsidP="00245369">
      <w:pPr>
        <w:keepNext/>
        <w:keepLines/>
        <w:tabs>
          <w:tab w:val="left" w:pos="1247"/>
          <w:tab w:val="left" w:pos="1814"/>
          <w:tab w:val="left" w:pos="2381"/>
          <w:tab w:val="left" w:pos="2948"/>
          <w:tab w:val="left" w:pos="3515"/>
        </w:tabs>
        <w:autoSpaceDE w:val="0"/>
        <w:autoSpaceDN w:val="0"/>
        <w:adjustRightInd w:val="0"/>
        <w:spacing w:after="120" w:line="240" w:lineRule="auto"/>
        <w:ind w:left="1248" w:firstLine="624"/>
        <w:rPr>
          <w:rFonts w:ascii="Times New Roman" w:eastAsia="Times New Roman" w:hAnsi="Times New Roman" w:cs="Times New Roman"/>
          <w:i/>
          <w:iCs/>
          <w:color w:val="000000"/>
          <w:sz w:val="20"/>
          <w:szCs w:val="20"/>
          <w:lang w:val="es-ES"/>
        </w:rPr>
      </w:pPr>
      <w:r w:rsidRPr="00245369">
        <w:rPr>
          <w:rFonts w:ascii="Times New Roman" w:eastAsia="Times New Roman" w:hAnsi="Times New Roman" w:cs="Times New Roman"/>
          <w:i/>
          <w:iCs/>
          <w:color w:val="000000"/>
          <w:sz w:val="20"/>
          <w:szCs w:val="20"/>
          <w:lang w:val="es-ES"/>
        </w:rPr>
        <w:t>El Grupo de Trabajo de composición abierta,</w:t>
      </w:r>
    </w:p>
    <w:p w:rsidR="00245369" w:rsidRPr="00245369" w:rsidRDefault="00245369" w:rsidP="00245369">
      <w:pPr>
        <w:tabs>
          <w:tab w:val="left" w:pos="624"/>
        </w:tabs>
        <w:spacing w:after="120" w:line="240" w:lineRule="auto"/>
        <w:ind w:left="1260" w:firstLine="612"/>
        <w:rPr>
          <w:rFonts w:ascii="Times New Roman" w:eastAsia="Times New Roman" w:hAnsi="Times New Roman" w:cs="Times New Roman"/>
          <w:color w:val="000000"/>
          <w:sz w:val="20"/>
          <w:szCs w:val="20"/>
          <w:lang w:val="es-ES"/>
        </w:rPr>
      </w:pPr>
      <w:r w:rsidRPr="00245369">
        <w:rPr>
          <w:rFonts w:ascii="Times New Roman" w:eastAsia="Times New Roman" w:hAnsi="Times New Roman" w:cs="Times New Roman"/>
          <w:i/>
          <w:color w:val="000000"/>
          <w:sz w:val="20"/>
          <w:szCs w:val="20"/>
          <w:lang w:val="es-ES"/>
        </w:rPr>
        <w:t xml:space="preserve">Tomando nota </w:t>
      </w:r>
      <w:r w:rsidRPr="00245369">
        <w:rPr>
          <w:rFonts w:ascii="Times New Roman" w:eastAsia="Times New Roman" w:hAnsi="Times New Roman" w:cs="Times New Roman"/>
          <w:color w:val="000000"/>
          <w:sz w:val="20"/>
          <w:szCs w:val="20"/>
          <w:lang w:val="es-ES"/>
        </w:rPr>
        <w:t>del deseo de las Partes de garantizar un proceso de adopción de decisiones transparente, inclusivo y eficaz en el seno del Grupo de Trabajo de composición abierta a fin de permitir a todas las regiones participar de manera efectiva en los debates,</w:t>
      </w:r>
    </w:p>
    <w:p w:rsidR="00245369" w:rsidRPr="00245369" w:rsidRDefault="00245369" w:rsidP="00245369">
      <w:pPr>
        <w:tabs>
          <w:tab w:val="left" w:pos="624"/>
        </w:tabs>
        <w:spacing w:after="120" w:line="240" w:lineRule="auto"/>
        <w:ind w:left="1260" w:firstLine="612"/>
        <w:rPr>
          <w:rFonts w:ascii="Times New Roman" w:eastAsia="Times New Roman" w:hAnsi="Times New Roman" w:cs="Times New Roman"/>
          <w:color w:val="000000"/>
          <w:sz w:val="20"/>
          <w:szCs w:val="20"/>
          <w:lang w:val="es-ES"/>
        </w:rPr>
      </w:pPr>
      <w:r w:rsidRPr="00245369">
        <w:rPr>
          <w:rFonts w:ascii="Times New Roman" w:eastAsia="Times New Roman" w:hAnsi="Times New Roman" w:cs="Times New Roman"/>
          <w:i/>
          <w:color w:val="000000"/>
          <w:sz w:val="20"/>
          <w:szCs w:val="20"/>
          <w:lang w:val="es-ES"/>
        </w:rPr>
        <w:t>Reconociendo</w:t>
      </w:r>
      <w:r w:rsidRPr="00245369">
        <w:rPr>
          <w:rFonts w:ascii="Times New Roman" w:eastAsia="Times New Roman" w:hAnsi="Times New Roman" w:cs="Times New Roman"/>
          <w:color w:val="000000"/>
          <w:sz w:val="20"/>
          <w:szCs w:val="20"/>
          <w:lang w:val="es-ES"/>
        </w:rPr>
        <w:t xml:space="preserve"> el amplio alcance del mandato del Grupo de Trabajo de composición abierta, que abarca cuestiones técnicas, jurídicas y estratégicas en preparación de los debates que tendrán lugar en las reuniones de la Conferencia de las Partes, </w:t>
      </w:r>
    </w:p>
    <w:p w:rsidR="00245369" w:rsidRPr="00245369" w:rsidRDefault="00245369" w:rsidP="00245369">
      <w:pPr>
        <w:numPr>
          <w:ilvl w:val="0"/>
          <w:numId w:val="5"/>
        </w:numPr>
        <w:tabs>
          <w:tab w:val="left" w:pos="1247"/>
          <w:tab w:val="left" w:pos="1814"/>
          <w:tab w:val="left" w:pos="2381"/>
          <w:tab w:val="left" w:pos="2948"/>
          <w:tab w:val="left" w:pos="3515"/>
        </w:tabs>
        <w:spacing w:after="120" w:line="240" w:lineRule="auto"/>
        <w:ind w:firstLine="624"/>
        <w:rPr>
          <w:rFonts w:ascii="Times New Roman" w:eastAsia="Times New Roman" w:hAnsi="Times New Roman" w:cs="Times New Roman"/>
          <w:color w:val="000000"/>
          <w:sz w:val="20"/>
          <w:szCs w:val="20"/>
          <w:lang w:val="es-ES"/>
        </w:rPr>
      </w:pPr>
      <w:r w:rsidRPr="00245369">
        <w:rPr>
          <w:rFonts w:ascii="Times New Roman" w:eastAsia="Times New Roman" w:hAnsi="Times New Roman" w:cs="Times New Roman"/>
          <w:i/>
          <w:color w:val="000000"/>
          <w:sz w:val="20"/>
          <w:szCs w:val="20"/>
          <w:lang w:val="es-ES"/>
        </w:rPr>
        <w:t xml:space="preserve">Acoge con beneplácito </w:t>
      </w:r>
      <w:r w:rsidRPr="00245369">
        <w:rPr>
          <w:rFonts w:ascii="Times New Roman" w:eastAsia="Times New Roman" w:hAnsi="Times New Roman" w:cs="Times New Roman"/>
          <w:color w:val="000000"/>
          <w:sz w:val="20"/>
          <w:szCs w:val="20"/>
          <w:lang w:val="es-ES"/>
        </w:rPr>
        <w:t>el análisis preparado por la Secretaría sobre posibles opciones para los arreglos institucionales futuros</w:t>
      </w:r>
      <w:r w:rsidRPr="00245369">
        <w:rPr>
          <w:rFonts w:ascii="Times New Roman" w:eastAsia="Times New Roman" w:hAnsi="Times New Roman" w:cs="Times New Roman"/>
          <w:sz w:val="20"/>
          <w:szCs w:val="18"/>
          <w:vertAlign w:val="superscript"/>
          <w:lang w:val="es-ES"/>
        </w:rPr>
        <w:footnoteReference w:id="1"/>
      </w:r>
      <w:r w:rsidRPr="00245369">
        <w:rPr>
          <w:rFonts w:ascii="Times New Roman" w:eastAsia="Times New Roman" w:hAnsi="Times New Roman" w:cs="Times New Roman"/>
          <w:color w:val="000000"/>
          <w:sz w:val="20"/>
          <w:szCs w:val="20"/>
          <w:lang w:val="es-ES"/>
        </w:rPr>
        <w:t>;</w:t>
      </w:r>
    </w:p>
    <w:p w:rsidR="00245369" w:rsidRPr="00245369" w:rsidRDefault="00245369" w:rsidP="00245369">
      <w:pPr>
        <w:numPr>
          <w:ilvl w:val="0"/>
          <w:numId w:val="5"/>
        </w:numPr>
        <w:tabs>
          <w:tab w:val="left" w:pos="1247"/>
          <w:tab w:val="left" w:pos="1814"/>
          <w:tab w:val="left" w:pos="2381"/>
          <w:tab w:val="left" w:pos="2948"/>
          <w:tab w:val="left" w:pos="3515"/>
        </w:tabs>
        <w:spacing w:after="120" w:line="240" w:lineRule="auto"/>
        <w:ind w:firstLine="624"/>
        <w:rPr>
          <w:rFonts w:ascii="Times New Roman" w:eastAsia="Times New Roman" w:hAnsi="Times New Roman" w:cs="Times New Roman"/>
          <w:color w:val="000000"/>
          <w:sz w:val="20"/>
          <w:szCs w:val="20"/>
          <w:lang w:val="es-ES"/>
        </w:rPr>
      </w:pPr>
      <w:r w:rsidRPr="00245369">
        <w:rPr>
          <w:rFonts w:ascii="Times New Roman" w:eastAsia="Times New Roman" w:hAnsi="Times New Roman" w:cs="Times New Roman"/>
          <w:i/>
          <w:color w:val="000000"/>
          <w:sz w:val="20"/>
          <w:szCs w:val="20"/>
          <w:lang w:val="es-ES"/>
        </w:rPr>
        <w:t xml:space="preserve">Invita </w:t>
      </w:r>
      <w:r w:rsidRPr="00245369">
        <w:rPr>
          <w:rFonts w:ascii="Times New Roman" w:eastAsia="Times New Roman" w:hAnsi="Times New Roman" w:cs="Times New Roman"/>
          <w:color w:val="000000"/>
          <w:sz w:val="20"/>
          <w:szCs w:val="20"/>
          <w:lang w:val="es-ES"/>
        </w:rPr>
        <w:t xml:space="preserve">a las Partes y otros interesados a que presenten a la Secretaría sus observaciones sobre los arreglos que se hicieron para la novena reunión del Grupo de Trabajo de composición abierta, a más tardar el 30 de noviembre de 2014; </w:t>
      </w:r>
    </w:p>
    <w:p w:rsidR="00245369" w:rsidRPr="00245369" w:rsidRDefault="00245369" w:rsidP="00245369">
      <w:pPr>
        <w:numPr>
          <w:ilvl w:val="0"/>
          <w:numId w:val="5"/>
        </w:numPr>
        <w:tabs>
          <w:tab w:val="left" w:pos="1247"/>
          <w:tab w:val="left" w:pos="1814"/>
          <w:tab w:val="left" w:pos="2381"/>
          <w:tab w:val="left" w:pos="2948"/>
          <w:tab w:val="left" w:pos="3515"/>
        </w:tabs>
        <w:spacing w:after="120" w:line="240" w:lineRule="auto"/>
        <w:ind w:firstLine="624"/>
        <w:rPr>
          <w:rFonts w:ascii="Times New Roman" w:eastAsia="Times New Roman" w:hAnsi="Times New Roman" w:cs="Times New Roman"/>
          <w:color w:val="000000"/>
          <w:sz w:val="20"/>
          <w:szCs w:val="20"/>
          <w:lang w:val="es-ES"/>
        </w:rPr>
      </w:pPr>
      <w:r w:rsidRPr="00245369">
        <w:rPr>
          <w:rFonts w:ascii="Times New Roman" w:eastAsia="Times New Roman" w:hAnsi="Times New Roman" w:cs="Times New Roman"/>
          <w:i/>
          <w:color w:val="000000"/>
          <w:sz w:val="20"/>
          <w:szCs w:val="20"/>
          <w:lang w:val="es-ES"/>
        </w:rPr>
        <w:t xml:space="preserve">Solicita </w:t>
      </w:r>
      <w:r w:rsidRPr="00245369">
        <w:rPr>
          <w:rFonts w:ascii="Times New Roman" w:eastAsia="Times New Roman" w:hAnsi="Times New Roman" w:cs="Times New Roman"/>
          <w:color w:val="000000"/>
          <w:sz w:val="20"/>
          <w:szCs w:val="20"/>
          <w:lang w:val="es-ES"/>
        </w:rPr>
        <w:t xml:space="preserve">a la Secretaría que recopile todas las observaciones recibidas de las Partes y de otros interesados de conformidad con lo dispuesto en el párrafo anterior y las presente a la Conferencia de las Partes en su 12ª reunión para su examen; </w:t>
      </w:r>
    </w:p>
    <w:p w:rsidR="00245369" w:rsidRPr="00245369" w:rsidRDefault="00245369" w:rsidP="00245369">
      <w:pPr>
        <w:numPr>
          <w:ilvl w:val="0"/>
          <w:numId w:val="5"/>
        </w:numPr>
        <w:tabs>
          <w:tab w:val="left" w:pos="1247"/>
          <w:tab w:val="left" w:pos="1814"/>
          <w:tab w:val="left" w:pos="2381"/>
          <w:tab w:val="left" w:pos="2948"/>
          <w:tab w:val="left" w:pos="3515"/>
        </w:tabs>
        <w:spacing w:after="120" w:line="240" w:lineRule="auto"/>
        <w:ind w:firstLine="624"/>
        <w:rPr>
          <w:rFonts w:ascii="Times New Roman" w:eastAsia="Times New Roman" w:hAnsi="Times New Roman" w:cs="Times New Roman"/>
          <w:sz w:val="20"/>
          <w:szCs w:val="20"/>
          <w:lang w:val="es-ES"/>
        </w:rPr>
      </w:pPr>
      <w:r w:rsidRPr="00245369">
        <w:rPr>
          <w:rFonts w:ascii="Times New Roman" w:eastAsia="Times New Roman" w:hAnsi="Times New Roman" w:cs="Times New Roman"/>
          <w:i/>
          <w:color w:val="000000"/>
          <w:sz w:val="20"/>
          <w:szCs w:val="20"/>
          <w:lang w:val="es-ES"/>
        </w:rPr>
        <w:t>Concluye</w:t>
      </w:r>
      <w:r w:rsidRPr="00245369">
        <w:rPr>
          <w:rFonts w:ascii="Times New Roman" w:eastAsia="Times New Roman" w:hAnsi="Times New Roman" w:cs="Times New Roman"/>
          <w:color w:val="000000"/>
          <w:sz w:val="20"/>
          <w:szCs w:val="20"/>
          <w:lang w:val="es-ES"/>
        </w:rPr>
        <w:t xml:space="preserve"> que, junto con las observaciones presentadas con arreglo al párrafo 2 de la presente decisión, el análisis proporcionaría una base sólida para que la Conferencia de las Partes adoptara una decisión sobre las opciones de futuros arreglos institucionales para el funcionamiento del Grupo de Trabajo de composición abierta;</w:t>
      </w:r>
    </w:p>
    <w:p w:rsidR="00245369" w:rsidRPr="00245369" w:rsidRDefault="00245369" w:rsidP="00245369">
      <w:pPr>
        <w:numPr>
          <w:ilvl w:val="0"/>
          <w:numId w:val="5"/>
        </w:numPr>
        <w:tabs>
          <w:tab w:val="left" w:pos="1247"/>
          <w:tab w:val="left" w:pos="1814"/>
          <w:tab w:val="left" w:pos="2381"/>
          <w:tab w:val="left" w:pos="2948"/>
          <w:tab w:val="left" w:pos="3515"/>
        </w:tabs>
        <w:spacing w:after="120" w:line="240" w:lineRule="auto"/>
        <w:ind w:firstLine="624"/>
        <w:rPr>
          <w:rFonts w:ascii="Times New Roman" w:eastAsia="Times New Roman" w:hAnsi="Times New Roman" w:cs="Times New Roman"/>
          <w:sz w:val="20"/>
          <w:szCs w:val="20"/>
          <w:lang w:val="es-ES"/>
        </w:rPr>
      </w:pPr>
      <w:r w:rsidRPr="00245369">
        <w:rPr>
          <w:rFonts w:ascii="Times New Roman" w:eastAsia="Times New Roman" w:hAnsi="Times New Roman" w:cs="Times New Roman"/>
          <w:i/>
          <w:sz w:val="20"/>
          <w:szCs w:val="20"/>
          <w:lang w:val="es-ES"/>
        </w:rPr>
        <w:t xml:space="preserve">Observa </w:t>
      </w:r>
      <w:r w:rsidRPr="00245369">
        <w:rPr>
          <w:rFonts w:ascii="Times New Roman" w:eastAsia="Times New Roman" w:hAnsi="Times New Roman" w:cs="Times New Roman"/>
          <w:sz w:val="20"/>
          <w:szCs w:val="20"/>
          <w:lang w:val="es-ES"/>
        </w:rPr>
        <w:t>que las Partes expresaron distintas opiniones sobre las opciones en la novena reunión del Grupo de Trabajo de composición abierta;</w:t>
      </w:r>
      <w:r w:rsidRPr="00245369">
        <w:rPr>
          <w:rFonts w:ascii="Times New Roman" w:eastAsia="Times New Roman" w:hAnsi="Times New Roman" w:cs="Times New Roman"/>
          <w:i/>
          <w:sz w:val="20"/>
          <w:szCs w:val="20"/>
          <w:lang w:val="es-ES"/>
        </w:rPr>
        <w:t xml:space="preserve"> </w:t>
      </w:r>
    </w:p>
    <w:p w:rsidR="00245369" w:rsidRPr="00245369" w:rsidRDefault="00245369" w:rsidP="00245369">
      <w:pPr>
        <w:numPr>
          <w:ilvl w:val="0"/>
          <w:numId w:val="5"/>
        </w:numPr>
        <w:tabs>
          <w:tab w:val="left" w:pos="1247"/>
          <w:tab w:val="left" w:pos="1814"/>
          <w:tab w:val="left" w:pos="2381"/>
          <w:tab w:val="left" w:pos="2948"/>
          <w:tab w:val="left" w:pos="3515"/>
        </w:tabs>
        <w:spacing w:after="120" w:line="240" w:lineRule="auto"/>
        <w:ind w:firstLine="624"/>
        <w:rPr>
          <w:rFonts w:ascii="Times New Roman" w:eastAsia="Times New Roman" w:hAnsi="Times New Roman" w:cs="Times New Roman"/>
          <w:sz w:val="20"/>
          <w:szCs w:val="20"/>
          <w:lang w:val="es-ES"/>
        </w:rPr>
      </w:pPr>
      <w:r w:rsidRPr="00245369">
        <w:rPr>
          <w:rFonts w:ascii="Times New Roman" w:eastAsia="Times New Roman" w:hAnsi="Times New Roman" w:cs="Times New Roman"/>
          <w:i/>
          <w:color w:val="000000"/>
          <w:sz w:val="20"/>
          <w:szCs w:val="20"/>
          <w:lang w:val="es-ES"/>
        </w:rPr>
        <w:t xml:space="preserve">Está de acuerdo </w:t>
      </w:r>
      <w:r w:rsidRPr="00245369">
        <w:rPr>
          <w:rFonts w:ascii="Times New Roman" w:eastAsia="Times New Roman" w:hAnsi="Times New Roman" w:cs="Times New Roman"/>
          <w:color w:val="000000"/>
          <w:sz w:val="20"/>
          <w:szCs w:val="20"/>
          <w:lang w:val="es-ES"/>
        </w:rPr>
        <w:t xml:space="preserve">en que la experiencia adquirida en los arreglos para la novena reunión del Grupo de Trabajo de composición abierta debería tenerse en cuenta antes de adoptar una decisión sobre los futuros arreglos institucionales para el funcionamiento del Grupo de Trabajo de composición abierta; </w:t>
      </w:r>
    </w:p>
    <w:p w:rsidR="00245369" w:rsidRPr="00245369" w:rsidRDefault="00245369" w:rsidP="00245369">
      <w:pPr>
        <w:numPr>
          <w:ilvl w:val="0"/>
          <w:numId w:val="5"/>
        </w:numPr>
        <w:tabs>
          <w:tab w:val="left" w:pos="1247"/>
          <w:tab w:val="left" w:pos="1814"/>
          <w:tab w:val="left" w:pos="2381"/>
          <w:tab w:val="left" w:pos="2948"/>
          <w:tab w:val="left" w:pos="3515"/>
        </w:tabs>
        <w:spacing w:after="120" w:line="240" w:lineRule="auto"/>
        <w:ind w:firstLine="624"/>
        <w:rPr>
          <w:rFonts w:ascii="Times New Roman" w:eastAsia="Times New Roman" w:hAnsi="Times New Roman" w:cs="Times New Roman"/>
          <w:color w:val="000000"/>
          <w:sz w:val="20"/>
          <w:szCs w:val="20"/>
          <w:lang w:val="es-ES"/>
        </w:rPr>
      </w:pPr>
      <w:r w:rsidRPr="00245369">
        <w:rPr>
          <w:rFonts w:ascii="Times New Roman" w:eastAsia="Times New Roman" w:hAnsi="Times New Roman" w:cs="Times New Roman"/>
          <w:i/>
          <w:color w:val="000000"/>
          <w:sz w:val="20"/>
          <w:szCs w:val="20"/>
          <w:lang w:val="es-ES"/>
        </w:rPr>
        <w:t xml:space="preserve">Recomienda </w:t>
      </w:r>
      <w:r w:rsidRPr="00245369">
        <w:rPr>
          <w:rFonts w:ascii="Times New Roman" w:eastAsia="Times New Roman" w:hAnsi="Times New Roman" w:cs="Times New Roman"/>
          <w:color w:val="000000"/>
          <w:sz w:val="20"/>
          <w:szCs w:val="20"/>
          <w:lang w:val="es-ES"/>
        </w:rPr>
        <w:t>que la Conferencia de las Partes, en su 12ª reunión, adopte una decisión sobre los futuros arreglos institucionales para el funcionamiento del Grupo de Trabajo de composición abierta, teniendo en cuenta:</w:t>
      </w:r>
    </w:p>
    <w:p w:rsidR="00245369" w:rsidRPr="00245369" w:rsidRDefault="00245369" w:rsidP="00245369">
      <w:pPr>
        <w:numPr>
          <w:ilvl w:val="0"/>
          <w:numId w:val="6"/>
        </w:numPr>
        <w:tabs>
          <w:tab w:val="left" w:pos="624"/>
          <w:tab w:val="left" w:pos="1247"/>
          <w:tab w:val="left" w:pos="1814"/>
          <w:tab w:val="left" w:pos="2381"/>
          <w:tab w:val="left" w:pos="2948"/>
          <w:tab w:val="left" w:pos="3515"/>
        </w:tabs>
        <w:spacing w:after="120" w:line="240" w:lineRule="auto"/>
        <w:ind w:left="1247" w:firstLine="624"/>
        <w:rPr>
          <w:rFonts w:ascii="Times New Roman" w:eastAsia="Times New Roman" w:hAnsi="Times New Roman" w:cs="Times New Roman"/>
          <w:color w:val="000000"/>
          <w:sz w:val="20"/>
          <w:szCs w:val="20"/>
          <w:lang w:val="es-ES"/>
        </w:rPr>
      </w:pPr>
      <w:r w:rsidRPr="00245369">
        <w:rPr>
          <w:rFonts w:ascii="Times New Roman" w:eastAsia="Times New Roman" w:hAnsi="Times New Roman" w:cs="Times New Roman"/>
          <w:sz w:val="20"/>
          <w:szCs w:val="20"/>
          <w:lang w:val="es-ES"/>
        </w:rPr>
        <w:t>El análisis preparado por la Secretaría</w:t>
      </w:r>
      <w:r w:rsidRPr="00245369">
        <w:rPr>
          <w:rFonts w:ascii="Times New Roman" w:eastAsia="Times New Roman" w:hAnsi="Times New Roman" w:cs="Times New Roman"/>
          <w:sz w:val="20"/>
          <w:szCs w:val="18"/>
          <w:lang w:val="es-ES"/>
        </w:rPr>
        <w:footnoteReference w:id="2"/>
      </w:r>
      <w:r w:rsidRPr="00245369">
        <w:rPr>
          <w:rFonts w:ascii="Times New Roman" w:eastAsia="Times New Roman" w:hAnsi="Times New Roman" w:cs="Times New Roman"/>
          <w:sz w:val="20"/>
          <w:szCs w:val="20"/>
          <w:lang w:val="es-ES"/>
        </w:rPr>
        <w:t>;</w:t>
      </w:r>
    </w:p>
    <w:p w:rsidR="00245369" w:rsidRPr="00245369" w:rsidRDefault="00245369" w:rsidP="00245369">
      <w:pPr>
        <w:numPr>
          <w:ilvl w:val="0"/>
          <w:numId w:val="6"/>
        </w:numPr>
        <w:tabs>
          <w:tab w:val="left" w:pos="624"/>
          <w:tab w:val="left" w:pos="1247"/>
          <w:tab w:val="left" w:pos="1814"/>
          <w:tab w:val="left" w:pos="2381"/>
          <w:tab w:val="left" w:pos="2948"/>
          <w:tab w:val="left" w:pos="3515"/>
        </w:tabs>
        <w:spacing w:after="120" w:line="240" w:lineRule="auto"/>
        <w:ind w:left="1247" w:firstLine="624"/>
        <w:rPr>
          <w:rFonts w:ascii="Times New Roman" w:eastAsia="Times New Roman" w:hAnsi="Times New Roman" w:cs="Times New Roman"/>
          <w:sz w:val="20"/>
          <w:szCs w:val="18"/>
          <w:lang w:val="es-ES"/>
        </w:rPr>
      </w:pPr>
      <w:r w:rsidRPr="00245369">
        <w:rPr>
          <w:rFonts w:ascii="Times New Roman" w:eastAsia="Times New Roman" w:hAnsi="Times New Roman" w:cs="Times New Roman"/>
          <w:sz w:val="20"/>
          <w:szCs w:val="20"/>
          <w:lang w:val="es-ES"/>
        </w:rPr>
        <w:t>Las observaciones presentadas por las Partes y otros interesados antes de la novena reunión del Grupo de Trabajo de composición abierta</w:t>
      </w:r>
      <w:r w:rsidRPr="00245369">
        <w:rPr>
          <w:rFonts w:ascii="Times New Roman" w:eastAsia="Times New Roman" w:hAnsi="Times New Roman" w:cs="Times New Roman"/>
          <w:sz w:val="20"/>
          <w:szCs w:val="18"/>
          <w:lang w:val="es-ES"/>
        </w:rPr>
        <w:footnoteReference w:id="3"/>
      </w:r>
      <w:r w:rsidRPr="00245369">
        <w:rPr>
          <w:rFonts w:ascii="Times New Roman" w:eastAsia="Times New Roman" w:hAnsi="Times New Roman" w:cs="Times New Roman"/>
          <w:sz w:val="20"/>
          <w:szCs w:val="20"/>
          <w:lang w:val="es-ES"/>
        </w:rPr>
        <w:t>;</w:t>
      </w:r>
    </w:p>
    <w:p w:rsidR="00245369" w:rsidRPr="00245369" w:rsidRDefault="00245369" w:rsidP="00245369">
      <w:pPr>
        <w:numPr>
          <w:ilvl w:val="0"/>
          <w:numId w:val="6"/>
        </w:numPr>
        <w:tabs>
          <w:tab w:val="left" w:pos="624"/>
          <w:tab w:val="left" w:pos="1247"/>
          <w:tab w:val="left" w:pos="1814"/>
          <w:tab w:val="left" w:pos="2381"/>
          <w:tab w:val="left" w:pos="2948"/>
          <w:tab w:val="left" w:pos="3515"/>
        </w:tabs>
        <w:spacing w:after="120" w:line="240" w:lineRule="auto"/>
        <w:ind w:left="1247" w:firstLine="624"/>
        <w:rPr>
          <w:rFonts w:ascii="Times New Roman" w:eastAsia="Times New Roman" w:hAnsi="Times New Roman" w:cs="Times New Roman"/>
          <w:color w:val="000000"/>
          <w:sz w:val="20"/>
          <w:szCs w:val="20"/>
          <w:lang w:val="es-ES"/>
        </w:rPr>
      </w:pPr>
      <w:r w:rsidRPr="00245369">
        <w:rPr>
          <w:rFonts w:ascii="Times New Roman" w:eastAsia="Times New Roman" w:hAnsi="Times New Roman" w:cs="Times New Roman"/>
          <w:sz w:val="20"/>
          <w:szCs w:val="20"/>
          <w:lang w:val="es-ES"/>
        </w:rPr>
        <w:t xml:space="preserve">Las observaciones presentadas por las Partes y otros interesados con arreglo a lo dispuesto en el párrafo 2 de la presente decisión; </w:t>
      </w:r>
    </w:p>
    <w:p w:rsidR="00245369" w:rsidRPr="00245369" w:rsidRDefault="00245369" w:rsidP="00245369">
      <w:pPr>
        <w:numPr>
          <w:ilvl w:val="0"/>
          <w:numId w:val="6"/>
        </w:numPr>
        <w:tabs>
          <w:tab w:val="left" w:pos="624"/>
          <w:tab w:val="left" w:pos="1247"/>
          <w:tab w:val="left" w:pos="1814"/>
          <w:tab w:val="left" w:pos="2381"/>
          <w:tab w:val="left" w:pos="2948"/>
          <w:tab w:val="left" w:pos="3515"/>
        </w:tabs>
        <w:spacing w:after="120" w:line="240" w:lineRule="auto"/>
        <w:ind w:left="1247" w:firstLine="624"/>
        <w:rPr>
          <w:rFonts w:ascii="Times New Roman" w:eastAsia="Times New Roman" w:hAnsi="Times New Roman" w:cs="Times New Roman"/>
          <w:color w:val="000000"/>
          <w:sz w:val="20"/>
          <w:szCs w:val="20"/>
          <w:lang w:val="es-ES"/>
        </w:rPr>
      </w:pPr>
      <w:r w:rsidRPr="00245369">
        <w:rPr>
          <w:rFonts w:ascii="Times New Roman" w:eastAsia="Times New Roman" w:hAnsi="Times New Roman" w:cs="Times New Roman"/>
          <w:color w:val="000000"/>
          <w:sz w:val="20"/>
          <w:szCs w:val="20"/>
          <w:lang w:val="es-ES"/>
        </w:rPr>
        <w:t xml:space="preserve">Las </w:t>
      </w:r>
      <w:r w:rsidRPr="00245369">
        <w:rPr>
          <w:rFonts w:ascii="Times New Roman" w:eastAsia="Times New Roman" w:hAnsi="Times New Roman" w:cs="Times New Roman"/>
          <w:sz w:val="20"/>
          <w:szCs w:val="20"/>
          <w:lang w:val="es-ES"/>
        </w:rPr>
        <w:t>opiniones</w:t>
      </w:r>
      <w:r w:rsidRPr="00245369">
        <w:rPr>
          <w:rFonts w:ascii="Times New Roman" w:eastAsia="Times New Roman" w:hAnsi="Times New Roman" w:cs="Times New Roman"/>
          <w:color w:val="000000"/>
          <w:sz w:val="20"/>
          <w:szCs w:val="20"/>
          <w:lang w:val="es-ES"/>
        </w:rPr>
        <w:t xml:space="preserve"> expresadas por las Partes en la novena reunión del Grupo de Trabajo de composición abierta, incluidas las relativas a la importancia de la interpretación para los países de habla no inglesa. </w:t>
      </w:r>
    </w:p>
    <w:p w:rsidR="007F6528" w:rsidRPr="00245369" w:rsidRDefault="007F6528" w:rsidP="00245369"/>
    <w:sectPr w:rsidR="007F6528" w:rsidRPr="00245369" w:rsidSect="007F652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33B5" w:rsidRDefault="007833B5" w:rsidP="007833B5">
      <w:pPr>
        <w:spacing w:after="0" w:line="240" w:lineRule="auto"/>
      </w:pPr>
      <w:r>
        <w:separator/>
      </w:r>
    </w:p>
  </w:endnote>
  <w:endnote w:type="continuationSeparator" w:id="0">
    <w:p w:rsidR="007833B5" w:rsidRDefault="007833B5" w:rsidP="007833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33B5" w:rsidRDefault="007833B5" w:rsidP="007833B5">
      <w:pPr>
        <w:spacing w:after="0" w:line="240" w:lineRule="auto"/>
      </w:pPr>
      <w:r>
        <w:separator/>
      </w:r>
    </w:p>
  </w:footnote>
  <w:footnote w:type="continuationSeparator" w:id="0">
    <w:p w:rsidR="007833B5" w:rsidRDefault="007833B5" w:rsidP="007833B5">
      <w:pPr>
        <w:spacing w:after="0" w:line="240" w:lineRule="auto"/>
      </w:pPr>
      <w:r>
        <w:continuationSeparator/>
      </w:r>
    </w:p>
  </w:footnote>
  <w:footnote w:id="1">
    <w:p w:rsidR="00245369" w:rsidRPr="00C6610E" w:rsidRDefault="00245369" w:rsidP="00245369">
      <w:pPr>
        <w:pStyle w:val="FootnoteText"/>
        <w:rPr>
          <w:szCs w:val="18"/>
        </w:rPr>
      </w:pPr>
      <w:r w:rsidRPr="00490B24">
        <w:rPr>
          <w:rStyle w:val="FootnoteReference"/>
          <w:sz w:val="18"/>
          <w:lang w:val="es-ES"/>
        </w:rPr>
        <w:footnoteRef/>
      </w:r>
      <w:r w:rsidRPr="00C6610E">
        <w:t xml:space="preserve"> </w:t>
      </w:r>
      <w:r w:rsidRPr="00C6610E">
        <w:rPr>
          <w:szCs w:val="18"/>
        </w:rPr>
        <w:t xml:space="preserve">UNEP/CHW/OEWG.9/5, </w:t>
      </w:r>
      <w:proofErr w:type="spellStart"/>
      <w:r w:rsidRPr="00C6610E">
        <w:rPr>
          <w:szCs w:val="18"/>
        </w:rPr>
        <w:t>anexo</w:t>
      </w:r>
      <w:proofErr w:type="spellEnd"/>
      <w:r w:rsidRPr="00C6610E">
        <w:rPr>
          <w:szCs w:val="18"/>
        </w:rPr>
        <w:t xml:space="preserve">. </w:t>
      </w:r>
    </w:p>
  </w:footnote>
  <w:footnote w:id="2">
    <w:p w:rsidR="00245369" w:rsidRPr="00C6610E" w:rsidRDefault="00245369" w:rsidP="00245369">
      <w:pPr>
        <w:pStyle w:val="FootnoteText"/>
        <w:rPr>
          <w:szCs w:val="18"/>
        </w:rPr>
      </w:pPr>
      <w:r w:rsidRPr="00490B24">
        <w:rPr>
          <w:rStyle w:val="FootnoteReference"/>
          <w:sz w:val="18"/>
          <w:lang w:val="es-ES"/>
        </w:rPr>
        <w:footnoteRef/>
      </w:r>
      <w:r w:rsidRPr="00C6610E">
        <w:rPr>
          <w:szCs w:val="18"/>
        </w:rPr>
        <w:t xml:space="preserve"> </w:t>
      </w:r>
      <w:r w:rsidRPr="00C6610E">
        <w:rPr>
          <w:i/>
          <w:szCs w:val="18"/>
        </w:rPr>
        <w:t>Ibid</w:t>
      </w:r>
      <w:r w:rsidRPr="00C6610E">
        <w:rPr>
          <w:szCs w:val="18"/>
        </w:rPr>
        <w:t>.</w:t>
      </w:r>
    </w:p>
  </w:footnote>
  <w:footnote w:id="3">
    <w:p w:rsidR="00245369" w:rsidRPr="00C6610E" w:rsidRDefault="00245369" w:rsidP="00245369">
      <w:pPr>
        <w:pStyle w:val="FootnoteText"/>
        <w:rPr>
          <w:szCs w:val="18"/>
        </w:rPr>
      </w:pPr>
      <w:r w:rsidRPr="00490B24">
        <w:rPr>
          <w:rStyle w:val="FootnoteReference"/>
          <w:sz w:val="18"/>
          <w:lang w:val="es-ES"/>
        </w:rPr>
        <w:footnoteRef/>
      </w:r>
      <w:r w:rsidRPr="00C6610E">
        <w:t xml:space="preserve"> </w:t>
      </w:r>
      <w:r w:rsidRPr="00C6610E">
        <w:rPr>
          <w:szCs w:val="18"/>
        </w:rPr>
        <w:t xml:space="preserve">UNEP/CHW/OEWG.9/INF/5.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1442DA"/>
    <w:multiLevelType w:val="hybridMultilevel"/>
    <w:tmpl w:val="ACA0075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Symbo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Symbol"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35E37C56"/>
    <w:multiLevelType w:val="hybridMultilevel"/>
    <w:tmpl w:val="6E1ED5F8"/>
    <w:lvl w:ilvl="0" w:tplc="FFFFFFFF">
      <w:start w:val="1"/>
      <w:numFmt w:val="decimal"/>
      <w:pStyle w:val="NormalNonumber"/>
      <w:lvlText w:val="%1."/>
      <w:lvlJc w:val="left"/>
      <w:pPr>
        <w:ind w:left="1967" w:hanging="360"/>
      </w:pPr>
      <w:rPr>
        <w:rFonts w:ascii="Times New Roman" w:hAnsi="Times New Roman" w:hint="default"/>
        <w:sz w:val="20"/>
      </w:rPr>
    </w:lvl>
    <w:lvl w:ilvl="1" w:tplc="FFFFFFFF" w:tentative="1">
      <w:start w:val="1"/>
      <w:numFmt w:val="lowerLetter"/>
      <w:lvlText w:val="%2."/>
      <w:lvlJc w:val="left"/>
      <w:pPr>
        <w:ind w:left="2687" w:hanging="360"/>
      </w:pPr>
    </w:lvl>
    <w:lvl w:ilvl="2" w:tplc="FFFFFFFF" w:tentative="1">
      <w:start w:val="1"/>
      <w:numFmt w:val="lowerRoman"/>
      <w:lvlText w:val="%3."/>
      <w:lvlJc w:val="right"/>
      <w:pPr>
        <w:ind w:left="3407" w:hanging="180"/>
      </w:pPr>
    </w:lvl>
    <w:lvl w:ilvl="3" w:tplc="FFFFFFFF" w:tentative="1">
      <w:start w:val="1"/>
      <w:numFmt w:val="decimal"/>
      <w:lvlText w:val="%4."/>
      <w:lvlJc w:val="left"/>
      <w:pPr>
        <w:ind w:left="4127" w:hanging="360"/>
      </w:pPr>
    </w:lvl>
    <w:lvl w:ilvl="4" w:tplc="FFFFFFFF" w:tentative="1">
      <w:start w:val="1"/>
      <w:numFmt w:val="lowerLetter"/>
      <w:lvlText w:val="%5."/>
      <w:lvlJc w:val="left"/>
      <w:pPr>
        <w:ind w:left="4847" w:hanging="360"/>
      </w:pPr>
    </w:lvl>
    <w:lvl w:ilvl="5" w:tplc="FFFFFFFF" w:tentative="1">
      <w:start w:val="1"/>
      <w:numFmt w:val="lowerRoman"/>
      <w:lvlText w:val="%6."/>
      <w:lvlJc w:val="right"/>
      <w:pPr>
        <w:ind w:left="5567" w:hanging="180"/>
      </w:pPr>
    </w:lvl>
    <w:lvl w:ilvl="6" w:tplc="FFFFFFFF" w:tentative="1">
      <w:start w:val="1"/>
      <w:numFmt w:val="decimal"/>
      <w:lvlText w:val="%7."/>
      <w:lvlJc w:val="left"/>
      <w:pPr>
        <w:ind w:left="6287" w:hanging="360"/>
      </w:pPr>
    </w:lvl>
    <w:lvl w:ilvl="7" w:tplc="FFFFFFFF" w:tentative="1">
      <w:start w:val="1"/>
      <w:numFmt w:val="lowerLetter"/>
      <w:lvlText w:val="%8."/>
      <w:lvlJc w:val="left"/>
      <w:pPr>
        <w:ind w:left="7007" w:hanging="360"/>
      </w:pPr>
    </w:lvl>
    <w:lvl w:ilvl="8" w:tplc="FFFFFFFF" w:tentative="1">
      <w:start w:val="1"/>
      <w:numFmt w:val="lowerRoman"/>
      <w:lvlText w:val="%9."/>
      <w:lvlJc w:val="right"/>
      <w:pPr>
        <w:ind w:left="7727" w:hanging="180"/>
      </w:pPr>
    </w:lvl>
  </w:abstractNum>
  <w:abstractNum w:abstractNumId="2">
    <w:nsid w:val="483A2339"/>
    <w:multiLevelType w:val="hybridMultilevel"/>
    <w:tmpl w:val="F1B662D0"/>
    <w:lvl w:ilvl="0" w:tplc="C9900F68">
      <w:start w:val="1"/>
      <w:numFmt w:val="decimal"/>
      <w:lvlText w:val="%1."/>
      <w:lvlJc w:val="left"/>
      <w:pPr>
        <w:ind w:left="1607" w:hanging="360"/>
      </w:pPr>
      <w:rPr>
        <w:rFonts w:hint="default"/>
      </w:rPr>
    </w:lvl>
    <w:lvl w:ilvl="1" w:tplc="08090019" w:tentative="1">
      <w:start w:val="1"/>
      <w:numFmt w:val="lowerLetter"/>
      <w:lvlText w:val="%2."/>
      <w:lvlJc w:val="left"/>
      <w:pPr>
        <w:ind w:left="2327" w:hanging="360"/>
      </w:pPr>
    </w:lvl>
    <w:lvl w:ilvl="2" w:tplc="0809001B" w:tentative="1">
      <w:start w:val="1"/>
      <w:numFmt w:val="lowerRoman"/>
      <w:lvlText w:val="%3."/>
      <w:lvlJc w:val="right"/>
      <w:pPr>
        <w:ind w:left="3047" w:hanging="180"/>
      </w:pPr>
    </w:lvl>
    <w:lvl w:ilvl="3" w:tplc="0809000F" w:tentative="1">
      <w:start w:val="1"/>
      <w:numFmt w:val="decimal"/>
      <w:lvlText w:val="%4."/>
      <w:lvlJc w:val="left"/>
      <w:pPr>
        <w:ind w:left="3767" w:hanging="360"/>
      </w:pPr>
    </w:lvl>
    <w:lvl w:ilvl="4" w:tplc="08090019" w:tentative="1">
      <w:start w:val="1"/>
      <w:numFmt w:val="lowerLetter"/>
      <w:lvlText w:val="%5."/>
      <w:lvlJc w:val="left"/>
      <w:pPr>
        <w:ind w:left="4487" w:hanging="360"/>
      </w:pPr>
    </w:lvl>
    <w:lvl w:ilvl="5" w:tplc="0809001B" w:tentative="1">
      <w:start w:val="1"/>
      <w:numFmt w:val="lowerRoman"/>
      <w:lvlText w:val="%6."/>
      <w:lvlJc w:val="right"/>
      <w:pPr>
        <w:ind w:left="5207" w:hanging="180"/>
      </w:pPr>
    </w:lvl>
    <w:lvl w:ilvl="6" w:tplc="0809000F" w:tentative="1">
      <w:start w:val="1"/>
      <w:numFmt w:val="decimal"/>
      <w:lvlText w:val="%7."/>
      <w:lvlJc w:val="left"/>
      <w:pPr>
        <w:ind w:left="5927" w:hanging="360"/>
      </w:pPr>
    </w:lvl>
    <w:lvl w:ilvl="7" w:tplc="08090019" w:tentative="1">
      <w:start w:val="1"/>
      <w:numFmt w:val="lowerLetter"/>
      <w:lvlText w:val="%8."/>
      <w:lvlJc w:val="left"/>
      <w:pPr>
        <w:ind w:left="6647" w:hanging="360"/>
      </w:pPr>
    </w:lvl>
    <w:lvl w:ilvl="8" w:tplc="0809001B" w:tentative="1">
      <w:start w:val="1"/>
      <w:numFmt w:val="lowerRoman"/>
      <w:lvlText w:val="%9."/>
      <w:lvlJc w:val="right"/>
      <w:pPr>
        <w:ind w:left="7367" w:hanging="180"/>
      </w:pPr>
    </w:lvl>
  </w:abstractNum>
  <w:abstractNum w:abstractNumId="3">
    <w:nsid w:val="52A66A9D"/>
    <w:multiLevelType w:val="multilevel"/>
    <w:tmpl w:val="48241D10"/>
    <w:styleLink w:val="Normallist"/>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4">
    <w:nsid w:val="71E06B9A"/>
    <w:multiLevelType w:val="hybridMultilevel"/>
    <w:tmpl w:val="7BC4A7F0"/>
    <w:lvl w:ilvl="0" w:tplc="0C0A0017">
      <w:start w:val="1"/>
      <w:numFmt w:val="lowerLetter"/>
      <w:lvlText w:val="%1)"/>
      <w:lvlJc w:val="left"/>
      <w:pPr>
        <w:ind w:left="2534" w:hanging="360"/>
      </w:pPr>
    </w:lvl>
    <w:lvl w:ilvl="1" w:tplc="0C0A0019" w:tentative="1">
      <w:start w:val="1"/>
      <w:numFmt w:val="lowerLetter"/>
      <w:lvlText w:val="%2."/>
      <w:lvlJc w:val="left"/>
      <w:pPr>
        <w:ind w:left="3254" w:hanging="360"/>
      </w:pPr>
    </w:lvl>
    <w:lvl w:ilvl="2" w:tplc="0C0A001B" w:tentative="1">
      <w:start w:val="1"/>
      <w:numFmt w:val="lowerRoman"/>
      <w:lvlText w:val="%3."/>
      <w:lvlJc w:val="right"/>
      <w:pPr>
        <w:ind w:left="3974" w:hanging="180"/>
      </w:pPr>
    </w:lvl>
    <w:lvl w:ilvl="3" w:tplc="0C0A000F" w:tentative="1">
      <w:start w:val="1"/>
      <w:numFmt w:val="decimal"/>
      <w:lvlText w:val="%4."/>
      <w:lvlJc w:val="left"/>
      <w:pPr>
        <w:ind w:left="4694" w:hanging="360"/>
      </w:pPr>
    </w:lvl>
    <w:lvl w:ilvl="4" w:tplc="0C0A0019" w:tentative="1">
      <w:start w:val="1"/>
      <w:numFmt w:val="lowerLetter"/>
      <w:lvlText w:val="%5."/>
      <w:lvlJc w:val="left"/>
      <w:pPr>
        <w:ind w:left="5414" w:hanging="360"/>
      </w:pPr>
    </w:lvl>
    <w:lvl w:ilvl="5" w:tplc="0C0A001B" w:tentative="1">
      <w:start w:val="1"/>
      <w:numFmt w:val="lowerRoman"/>
      <w:lvlText w:val="%6."/>
      <w:lvlJc w:val="right"/>
      <w:pPr>
        <w:ind w:left="6134" w:hanging="180"/>
      </w:pPr>
    </w:lvl>
    <w:lvl w:ilvl="6" w:tplc="0C0A000F" w:tentative="1">
      <w:start w:val="1"/>
      <w:numFmt w:val="decimal"/>
      <w:lvlText w:val="%7."/>
      <w:lvlJc w:val="left"/>
      <w:pPr>
        <w:ind w:left="6854" w:hanging="360"/>
      </w:pPr>
    </w:lvl>
    <w:lvl w:ilvl="7" w:tplc="0C0A0019" w:tentative="1">
      <w:start w:val="1"/>
      <w:numFmt w:val="lowerLetter"/>
      <w:lvlText w:val="%8."/>
      <w:lvlJc w:val="left"/>
      <w:pPr>
        <w:ind w:left="7574" w:hanging="360"/>
      </w:pPr>
    </w:lvl>
    <w:lvl w:ilvl="8" w:tplc="0C0A001B" w:tentative="1">
      <w:start w:val="1"/>
      <w:numFmt w:val="lowerRoman"/>
      <w:lvlText w:val="%9."/>
      <w:lvlJc w:val="right"/>
      <w:pPr>
        <w:ind w:left="8294" w:hanging="180"/>
      </w:pPr>
    </w:lvl>
  </w:abstractNum>
  <w:num w:numId="1">
    <w:abstractNumId w:val="1"/>
  </w:num>
  <w:num w:numId="2">
    <w:abstractNumId w:val="0"/>
  </w:num>
  <w:num w:numId="3">
    <w:abstractNumId w:val="2"/>
  </w:num>
  <w:num w:numId="4">
    <w:abstractNumId w:val="3"/>
  </w:num>
  <w:num w:numId="5">
    <w:abstractNumId w:val="3"/>
    <w:lvlOverride w:ilvl="0">
      <w:lvl w:ilvl="0">
        <w:start w:val="1"/>
        <w:numFmt w:val="decimal"/>
        <w:lvlText w:val="%1."/>
        <w:lvlJc w:val="left"/>
        <w:pPr>
          <w:tabs>
            <w:tab w:val="num" w:pos="1134"/>
          </w:tabs>
          <w:ind w:left="1247" w:firstLine="0"/>
        </w:pPr>
        <w:rPr>
          <w:rFonts w:hint="default"/>
          <w:i w:val="0"/>
        </w:rPr>
      </w:lvl>
    </w:lvlOverride>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20"/>
  <w:characterSpacingControl w:val="doNotCompress"/>
  <w:footnotePr>
    <w:footnote w:id="-1"/>
    <w:footnote w:id="0"/>
  </w:footnotePr>
  <w:endnotePr>
    <w:endnote w:id="-1"/>
    <w:endnote w:id="0"/>
  </w:endnotePr>
  <w:compat/>
  <w:rsids>
    <w:rsidRoot w:val="00D74A5A"/>
    <w:rsid w:val="00245369"/>
    <w:rsid w:val="007833B5"/>
    <w:rsid w:val="007F6528"/>
    <w:rsid w:val="00D74A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5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D74A5A"/>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customStyle="1" w:styleId="NormalNonumber">
    <w:name w:val="Normal_No_number"/>
    <w:basedOn w:val="Normal-pool"/>
    <w:rsid w:val="00D74A5A"/>
    <w:pPr>
      <w:numPr>
        <w:numId w:val="1"/>
      </w:numPr>
      <w:tabs>
        <w:tab w:val="num" w:pos="360"/>
      </w:tabs>
      <w:spacing w:after="120"/>
      <w:ind w:left="0" w:firstLine="0"/>
    </w:pPr>
  </w:style>
  <w:style w:type="character" w:customStyle="1" w:styleId="Normal-poolChar">
    <w:name w:val="Normal-pool Char"/>
    <w:link w:val="Normal-pool"/>
    <w:locked/>
    <w:rsid w:val="00D74A5A"/>
    <w:rPr>
      <w:rFonts w:ascii="Times New Roman" w:eastAsia="Times New Roman" w:hAnsi="Times New Roman" w:cs="Times New Roman"/>
      <w:sz w:val="20"/>
      <w:szCs w:val="20"/>
      <w:lang w:val="en-GB"/>
    </w:rPr>
  </w:style>
  <w:style w:type="paragraph" w:styleId="FootnoteText">
    <w:name w:val="footnote text"/>
    <w:basedOn w:val="Normal"/>
    <w:link w:val="FootnoteTextChar"/>
    <w:uiPriority w:val="99"/>
    <w:semiHidden/>
    <w:unhideWhenUsed/>
    <w:rsid w:val="007833B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33B5"/>
    <w:rPr>
      <w:sz w:val="20"/>
      <w:szCs w:val="20"/>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rsid w:val="007833B5"/>
    <w:rPr>
      <w:rFonts w:ascii="Times New Roman" w:hAnsi="Times New Roman"/>
      <w:color w:val="auto"/>
      <w:sz w:val="20"/>
      <w:szCs w:val="18"/>
      <w:vertAlign w:val="superscript"/>
    </w:rPr>
  </w:style>
  <w:style w:type="numbering" w:customStyle="1" w:styleId="Normallist">
    <w:name w:val="Normal_list"/>
    <w:basedOn w:val="NoList"/>
    <w:rsid w:val="00245369"/>
    <w:pPr>
      <w:numPr>
        <w:numId w:val="4"/>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410</Words>
  <Characters>2340</Characters>
  <Application>Microsoft Office Word</Application>
  <DocSecurity>0</DocSecurity>
  <Lines>19</Lines>
  <Paragraphs>5</Paragraphs>
  <ScaleCrop>false</ScaleCrop>
  <Company>BRS</Company>
  <LinksUpToDate>false</LinksUpToDate>
  <CharactersWithSpaces>2745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cbottollier</dc:creator>
  <cp:lastModifiedBy>cbottollier</cp:lastModifiedBy>
  <cp:revision>2</cp:revision>
  <dcterms:created xsi:type="dcterms:W3CDTF">2015-09-07T07:34:00Z</dcterms:created>
  <dcterms:modified xsi:type="dcterms:W3CDTF">2015-09-07T07:34:00Z</dcterms:modified>
</cp:coreProperties>
</file>