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887" w:rsidRPr="00281887" w:rsidRDefault="00281887" w:rsidP="00281887">
      <w:pPr>
        <w:tabs>
          <w:tab w:val="clear" w:pos="1247"/>
          <w:tab w:val="clear" w:pos="1814"/>
          <w:tab w:val="clear" w:pos="2381"/>
          <w:tab w:val="clear" w:pos="2948"/>
          <w:tab w:val="clear" w:pos="3515"/>
        </w:tabs>
        <w:bidi/>
        <w:spacing w:after="120" w:line="400" w:lineRule="exact"/>
        <w:ind w:left="1134"/>
        <w:jc w:val="both"/>
        <w:rPr>
          <w:rFonts w:ascii="Traditional Arabic" w:hAnsi="Traditional Arabic" w:cs="Traditional Arabic"/>
          <w:b/>
          <w:bCs/>
          <w:sz w:val="30"/>
          <w:szCs w:val="30"/>
          <w:rtl/>
          <w:lang w:val="en-US"/>
        </w:rPr>
      </w:pPr>
      <w:r w:rsidRPr="00281887">
        <w:rPr>
          <w:rFonts w:ascii="Traditional Arabic" w:hAnsi="Traditional Arabic" w:cs="Traditional Arabic"/>
          <w:b/>
          <w:bCs/>
          <w:sz w:val="30"/>
          <w:szCs w:val="30"/>
          <w:rtl/>
          <w:lang w:val="en-US"/>
        </w:rPr>
        <w:t xml:space="preserve">مقرر </w:t>
      </w:r>
      <w:r w:rsidRPr="00281887">
        <w:rPr>
          <w:rFonts w:cs="Traditional Arabic"/>
          <w:b/>
          <w:bCs/>
          <w:sz w:val="30"/>
          <w:szCs w:val="30"/>
          <w:rtl/>
          <w:lang w:val="en-US"/>
        </w:rPr>
        <w:t>الفريق العامل المفتوح العضوية</w:t>
      </w:r>
      <w:r w:rsidRPr="00281887">
        <w:rPr>
          <w:rFonts w:ascii="Traditional Arabic" w:hAnsi="Traditional Arabic" w:cs="Traditional Arabic"/>
          <w:b/>
          <w:bCs/>
          <w:sz w:val="30"/>
          <w:szCs w:val="30"/>
          <w:rtl/>
          <w:lang w:val="en-US"/>
        </w:rPr>
        <w:t xml:space="preserve"> -</w:t>
      </w:r>
      <w:r w:rsidRPr="00281887">
        <w:rPr>
          <w:rFonts w:ascii="Traditional Arabic" w:hAnsi="Traditional Arabic" w:cs="Traditional Arabic" w:hint="cs"/>
          <w:b/>
          <w:bCs/>
          <w:sz w:val="30"/>
          <w:szCs w:val="30"/>
          <w:rtl/>
          <w:lang w:val="en-US"/>
        </w:rPr>
        <w:t>9/3</w:t>
      </w:r>
      <w:r w:rsidRPr="00281887">
        <w:rPr>
          <w:rFonts w:ascii="Traditional Arabic" w:hAnsi="Traditional Arabic" w:cs="Traditional Arabic"/>
          <w:b/>
          <w:bCs/>
          <w:sz w:val="30"/>
          <w:szCs w:val="30"/>
          <w:rtl/>
          <w:lang w:val="en-US"/>
        </w:rPr>
        <w:t>: المبادئ التوجيهية التقنية للإدارة السليمة بيئياً للنفايات المكونة من الملوثات العضوية الثابتة أو المحتوية عليها أو الملوثة بها</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i/>
          <w:iCs/>
          <w:sz w:val="30"/>
          <w:szCs w:val="30"/>
          <w:rtl/>
          <w:lang w:val="en-US"/>
        </w:rPr>
      </w:pPr>
      <w:r w:rsidRPr="00281887">
        <w:rPr>
          <w:rFonts w:ascii="Traditional Arabic" w:hAnsi="Traditional Arabic" w:cs="Traditional Arabic"/>
          <w:i/>
          <w:iCs/>
          <w:sz w:val="30"/>
          <w:szCs w:val="30"/>
          <w:rtl/>
          <w:lang w:val="en-US"/>
        </w:rPr>
        <w:t>إن الفريق العامل المفتوح العضوية،</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7"/>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t>1-</w:t>
      </w:r>
      <w:r w:rsidRPr="00281887">
        <w:rPr>
          <w:rFonts w:ascii="Traditional Arabic" w:hAnsi="Traditional Arabic" w:cs="Traditional Arabic"/>
          <w:sz w:val="30"/>
          <w:szCs w:val="30"/>
          <w:rtl/>
          <w:lang w:val="en-US"/>
        </w:rPr>
        <w:tab/>
      </w:r>
      <w:r w:rsidRPr="00281887">
        <w:rPr>
          <w:rFonts w:ascii="Traditional Arabic" w:hAnsi="Traditional Arabic" w:cs="Traditional Arabic"/>
          <w:i/>
          <w:iCs/>
          <w:sz w:val="30"/>
          <w:szCs w:val="30"/>
          <w:rtl/>
          <w:lang w:val="en-US"/>
        </w:rPr>
        <w:t>يرحب</w:t>
      </w:r>
      <w:r w:rsidRPr="00281887">
        <w:rPr>
          <w:rFonts w:ascii="Traditional Arabic" w:hAnsi="Traditional Arabic" w:cs="Traditional Arabic"/>
          <w:sz w:val="30"/>
          <w:szCs w:val="30"/>
          <w:rtl/>
          <w:lang w:val="en-US"/>
        </w:rPr>
        <w:t xml:space="preserve"> مع التقدير بالمساهمات المقدمة من كندا برئاستها للفريق الصغير العامل فيما بين الدورات ويعرب عن تقديره للبلدان الرائدة وهي كندا والصين واليابان، والمنظمات الرائدة وهي برنامج الأمم المتحدة للبيئة ومنظمة الأغذية والزراعة للأمم المتحدة والفريق الصغير العامل فيما بين الدورات للمساهمات التي قدموها للمهام ذات الصلة بالمبادئ التوجيهية التقنية للإدارة السليمة بيئياً للملوثات العضوية الثابتة،</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t>2-</w:t>
      </w:r>
      <w:r w:rsidRPr="00281887">
        <w:rPr>
          <w:rFonts w:ascii="Traditional Arabic" w:hAnsi="Traditional Arabic" w:cs="Traditional Arabic"/>
          <w:sz w:val="30"/>
          <w:szCs w:val="30"/>
          <w:rtl/>
          <w:lang w:val="en-US"/>
        </w:rPr>
        <w:tab/>
      </w:r>
      <w:r w:rsidRPr="00281887">
        <w:rPr>
          <w:rFonts w:ascii="Traditional Arabic" w:hAnsi="Traditional Arabic" w:cs="Traditional Arabic"/>
          <w:i/>
          <w:iCs/>
          <w:sz w:val="30"/>
          <w:szCs w:val="30"/>
          <w:rtl/>
          <w:lang w:val="en-US"/>
        </w:rPr>
        <w:t>يُحيط علما</w:t>
      </w:r>
      <w:r w:rsidRPr="00281887">
        <w:rPr>
          <w:rFonts w:ascii="Traditional Arabic" w:hAnsi="Traditional Arabic" w:cs="Traditional Arabic" w:hint="cs"/>
          <w:i/>
          <w:iCs/>
          <w:sz w:val="30"/>
          <w:szCs w:val="30"/>
          <w:rtl/>
          <w:lang w:val="en-US"/>
        </w:rPr>
        <w:t>ً</w:t>
      </w:r>
      <w:r w:rsidRPr="00281887">
        <w:rPr>
          <w:rFonts w:ascii="Traditional Arabic" w:hAnsi="Traditional Arabic" w:cs="Traditional Arabic"/>
          <w:sz w:val="30"/>
          <w:szCs w:val="30"/>
          <w:rtl/>
          <w:lang w:val="en-US"/>
        </w:rPr>
        <w:t xml:space="preserve"> بمشروع المبادئ التوجيهية التقنية للإدارة السليمة بيئياً للنفايات المكونة من الملوثات العضوية الثابتة أو المحتوية عليها أو الملوثة بها الذي أعدته البلدان الرائدة والمنظمات الرائدة،</w:t>
      </w:r>
      <w:r w:rsidRPr="00281887">
        <w:rPr>
          <w:rFonts w:ascii="Traditional Arabic" w:hAnsi="Traditional Arabic" w:cs="Traditional Arabic" w:hint="cs"/>
          <w:sz w:val="30"/>
          <w:szCs w:val="30"/>
          <w:vertAlign w:val="superscript"/>
          <w:rtl/>
          <w:lang w:val="en-US"/>
        </w:rPr>
        <w:t>(</w:t>
      </w:r>
      <w:r w:rsidRPr="00281887">
        <w:rPr>
          <w:rFonts w:cs="Simplified Arabic"/>
          <w:sz w:val="24"/>
          <w:szCs w:val="28"/>
          <w:vertAlign w:val="superscript"/>
          <w:rtl/>
          <w:lang w:val="en-US"/>
        </w:rPr>
        <w:footnoteReference w:id="1"/>
      </w:r>
      <w:r w:rsidRPr="00281887">
        <w:rPr>
          <w:rFonts w:ascii="Traditional Arabic" w:hAnsi="Traditional Arabic" w:cs="Traditional Arabic" w:hint="cs"/>
          <w:sz w:val="30"/>
          <w:szCs w:val="30"/>
          <w:vertAlign w:val="superscript"/>
          <w:rtl/>
          <w:lang w:val="en-US"/>
        </w:rPr>
        <w:t>)</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t>3-</w:t>
      </w:r>
      <w:r w:rsidRPr="00281887">
        <w:rPr>
          <w:rFonts w:ascii="Traditional Arabic" w:hAnsi="Traditional Arabic" w:cs="Traditional Arabic"/>
          <w:sz w:val="30"/>
          <w:szCs w:val="30"/>
          <w:rtl/>
          <w:lang w:val="en-US"/>
        </w:rPr>
        <w:tab/>
      </w:r>
      <w:r w:rsidRPr="00281887">
        <w:rPr>
          <w:rFonts w:ascii="Traditional Arabic" w:hAnsi="Traditional Arabic" w:cs="Traditional Arabic"/>
          <w:i/>
          <w:iCs/>
          <w:sz w:val="30"/>
          <w:szCs w:val="30"/>
          <w:rtl/>
          <w:lang w:val="en-US"/>
        </w:rPr>
        <w:t>يقر</w:t>
      </w:r>
      <w:r w:rsidRPr="00281887">
        <w:rPr>
          <w:rFonts w:ascii="Traditional Arabic" w:hAnsi="Traditional Arabic" w:cs="Traditional Arabic"/>
          <w:sz w:val="30"/>
          <w:szCs w:val="30"/>
          <w:rtl/>
          <w:lang w:val="en-US"/>
        </w:rPr>
        <w:t xml:space="preserve"> بالوثيقة الداعمة لإعداد القسم الثالث من المبادئ التوجيهية التقنية العامة للإدارة السليمة بيئياً للنفايات المكونة من الملوثات العضوية الثابتة أو المحتوية عليها أو الملوثة بها</w:t>
      </w:r>
      <w:r w:rsidRPr="00281887">
        <w:rPr>
          <w:rFonts w:ascii="Traditional Arabic" w:hAnsi="Traditional Arabic" w:cs="Traditional Arabic" w:hint="cs"/>
          <w:sz w:val="30"/>
          <w:szCs w:val="30"/>
          <w:vertAlign w:val="superscript"/>
          <w:rtl/>
          <w:lang w:val="en-US"/>
        </w:rPr>
        <w:t>(</w:t>
      </w:r>
      <w:r w:rsidRPr="00281887">
        <w:rPr>
          <w:rFonts w:cs="Simplified Arabic"/>
          <w:sz w:val="24"/>
          <w:szCs w:val="28"/>
          <w:vertAlign w:val="superscript"/>
          <w:rtl/>
          <w:lang w:val="en-US"/>
        </w:rPr>
        <w:footnoteReference w:id="2"/>
      </w:r>
      <w:r w:rsidRPr="00281887">
        <w:rPr>
          <w:rFonts w:ascii="Traditional Arabic" w:hAnsi="Traditional Arabic" w:cs="Traditional Arabic" w:hint="cs"/>
          <w:sz w:val="30"/>
          <w:szCs w:val="30"/>
          <w:vertAlign w:val="superscript"/>
          <w:rtl/>
          <w:lang w:val="en-US"/>
        </w:rPr>
        <w:t>)</w:t>
      </w:r>
      <w:r w:rsidRPr="00281887">
        <w:rPr>
          <w:rFonts w:ascii="Traditional Arabic" w:hAnsi="Traditional Arabic" w:cs="Traditional Arabic"/>
          <w:sz w:val="30"/>
          <w:szCs w:val="30"/>
          <w:rtl/>
          <w:lang w:val="en-US"/>
        </w:rPr>
        <w:t>، ويُحيط علماً بالمعلومات التي قُدمت خلال الاجتماع التاسع للفريق العامل المفتوح العضوية</w:t>
      </w:r>
      <w:r w:rsidRPr="00281887">
        <w:rPr>
          <w:rFonts w:ascii="Traditional Arabic" w:hAnsi="Traditional Arabic" w:cs="Traditional Arabic" w:hint="cs"/>
          <w:sz w:val="30"/>
          <w:szCs w:val="30"/>
          <w:rtl/>
          <w:lang w:val="en-US"/>
        </w:rPr>
        <w:t>،</w:t>
      </w:r>
      <w:r w:rsidRPr="00281887">
        <w:rPr>
          <w:rFonts w:ascii="Traditional Arabic" w:hAnsi="Traditional Arabic" w:cs="Traditional Arabic" w:hint="cs"/>
          <w:sz w:val="30"/>
          <w:szCs w:val="30"/>
          <w:vertAlign w:val="superscript"/>
          <w:rtl/>
          <w:lang w:val="en-US"/>
        </w:rPr>
        <w:t>(</w:t>
      </w:r>
      <w:r w:rsidRPr="00281887">
        <w:rPr>
          <w:rFonts w:cs="Simplified Arabic"/>
          <w:sz w:val="24"/>
          <w:szCs w:val="28"/>
          <w:vertAlign w:val="superscript"/>
          <w:rtl/>
          <w:lang w:val="en-US"/>
        </w:rPr>
        <w:footnoteReference w:id="3"/>
      </w:r>
      <w:r w:rsidRPr="00281887">
        <w:rPr>
          <w:rFonts w:ascii="Traditional Arabic" w:hAnsi="Traditional Arabic" w:cs="Traditional Arabic" w:hint="cs"/>
          <w:sz w:val="30"/>
          <w:szCs w:val="30"/>
          <w:vertAlign w:val="superscript"/>
          <w:rtl/>
          <w:lang w:val="en-US"/>
        </w:rPr>
        <w:t>)</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7"/>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t>4-</w:t>
      </w:r>
      <w:r w:rsidRPr="00281887">
        <w:rPr>
          <w:rFonts w:ascii="Traditional Arabic" w:hAnsi="Traditional Arabic" w:cs="Traditional Arabic"/>
          <w:sz w:val="30"/>
          <w:szCs w:val="30"/>
          <w:rtl/>
          <w:lang w:val="en-US"/>
        </w:rPr>
        <w:tab/>
      </w:r>
      <w:r w:rsidRPr="00281887">
        <w:rPr>
          <w:rFonts w:ascii="Traditional Arabic" w:hAnsi="Traditional Arabic" w:cs="Traditional Arabic"/>
          <w:i/>
          <w:iCs/>
          <w:sz w:val="30"/>
          <w:szCs w:val="30"/>
          <w:rtl/>
          <w:lang w:val="en-US"/>
        </w:rPr>
        <w:t>يُحيط علماً</w:t>
      </w:r>
      <w:r w:rsidRPr="00281887">
        <w:rPr>
          <w:rFonts w:ascii="Traditional Arabic" w:hAnsi="Traditional Arabic" w:cs="Traditional Arabic"/>
          <w:sz w:val="30"/>
          <w:szCs w:val="30"/>
          <w:rtl/>
          <w:lang w:val="en-US"/>
        </w:rPr>
        <w:t xml:space="preserve"> بمستويات التركيز التالية لتحديد المحتوى المنخفض من الملوثات العضوية الثابتة المشار إليه في الاجتماع التاسع للفريق العامل المفتوح العضوية ويدعو الأطراف وغيرها من الجهات إلى تقديم تعليقات للأمانة بشأن المستويات قبل 31 تشرين الأول/أكتوبر 2014:</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t>(أ)</w:t>
      </w:r>
      <w:r w:rsidRPr="00281887">
        <w:rPr>
          <w:rFonts w:ascii="Traditional Arabic" w:hAnsi="Traditional Arabic" w:cs="Traditional Arabic"/>
          <w:sz w:val="30"/>
          <w:szCs w:val="30"/>
          <w:rtl/>
          <w:lang w:val="en-US"/>
        </w:rPr>
        <w:tab/>
        <w:t>الإندوسلفان: 50 ملغم/كغم</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t>(ب)</w:t>
      </w:r>
      <w:r w:rsidRPr="00281887">
        <w:rPr>
          <w:rFonts w:ascii="Traditional Arabic" w:hAnsi="Traditional Arabic" w:cs="Traditional Arabic"/>
          <w:sz w:val="30"/>
          <w:szCs w:val="30"/>
          <w:rtl/>
          <w:lang w:val="en-US"/>
        </w:rPr>
        <w:tab/>
        <w:t>البنزين الخماسي الكلور: 50 ملغم/كغم</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t>(ج)</w:t>
      </w:r>
      <w:r w:rsidRPr="00281887">
        <w:rPr>
          <w:rFonts w:ascii="Traditional Arabic" w:hAnsi="Traditional Arabic" w:cs="Traditional Arabic"/>
          <w:sz w:val="30"/>
          <w:szCs w:val="30"/>
          <w:rtl/>
          <w:lang w:val="en-US"/>
        </w:rPr>
        <w:tab/>
        <w:t>المركب الثنائي الفينيل السداسي البروم: 50 ملغم/كغم</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t>(د)</w:t>
      </w:r>
      <w:r w:rsidRPr="00281887">
        <w:rPr>
          <w:rFonts w:ascii="Traditional Arabic" w:hAnsi="Traditional Arabic" w:cs="Traditional Arabic"/>
          <w:sz w:val="30"/>
          <w:szCs w:val="30"/>
          <w:rtl/>
          <w:lang w:val="en-US"/>
        </w:rPr>
        <w:tab/>
        <w:t>الإيثر الثنائي الفينيل السداسي البروم</w:t>
      </w:r>
      <w:r w:rsidRPr="00281887">
        <w:rPr>
          <w:rFonts w:ascii="Traditional Arabic" w:hAnsi="Traditional Arabic" w:cs="Traditional Arabic" w:hint="cs"/>
          <w:sz w:val="30"/>
          <w:szCs w:val="30"/>
          <w:rtl/>
          <w:lang w:val="en-US"/>
        </w:rPr>
        <w:t>، و</w:t>
      </w:r>
      <w:r w:rsidRPr="00281887">
        <w:rPr>
          <w:rFonts w:ascii="Traditional Arabic" w:hAnsi="Traditional Arabic" w:cs="Traditional Arabic"/>
          <w:sz w:val="30"/>
          <w:szCs w:val="30"/>
          <w:rtl/>
          <w:lang w:val="en-US"/>
        </w:rPr>
        <w:t xml:space="preserve">الإيثر الثنائي الفينيل السباعي البروم، </w:t>
      </w:r>
      <w:r w:rsidRPr="00281887">
        <w:rPr>
          <w:rFonts w:ascii="Traditional Arabic" w:hAnsi="Traditional Arabic" w:cs="Traditional Arabic" w:hint="cs"/>
          <w:sz w:val="30"/>
          <w:szCs w:val="30"/>
          <w:rtl/>
          <w:lang w:val="en-US"/>
        </w:rPr>
        <w:t>و</w:t>
      </w:r>
      <w:r w:rsidRPr="00281887">
        <w:rPr>
          <w:rFonts w:ascii="Traditional Arabic" w:hAnsi="Traditional Arabic" w:cs="Traditional Arabic"/>
          <w:sz w:val="30"/>
          <w:szCs w:val="30"/>
          <w:rtl/>
          <w:lang w:val="en-US"/>
        </w:rPr>
        <w:t xml:space="preserve">الإيثر الثنائي الفينيل الرباعي البروم، </w:t>
      </w:r>
      <w:r w:rsidRPr="00281887">
        <w:rPr>
          <w:rFonts w:ascii="Traditional Arabic" w:hAnsi="Traditional Arabic" w:cs="Traditional Arabic" w:hint="cs"/>
          <w:sz w:val="30"/>
          <w:szCs w:val="30"/>
          <w:rtl/>
          <w:lang w:val="en-US"/>
        </w:rPr>
        <w:t>و</w:t>
      </w:r>
      <w:r w:rsidRPr="00281887">
        <w:rPr>
          <w:rFonts w:ascii="Traditional Arabic" w:hAnsi="Traditional Arabic" w:cs="Traditional Arabic"/>
          <w:sz w:val="30"/>
          <w:szCs w:val="30"/>
          <w:rtl/>
          <w:lang w:val="en-US"/>
        </w:rPr>
        <w:t>الإيثر الثنائي الفينيل الخماسي البروم: 1000 ملغم/كغم كمجموع؛</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t>(ه)</w:t>
      </w:r>
      <w:r w:rsidRPr="00281887">
        <w:rPr>
          <w:rFonts w:ascii="Traditional Arabic" w:hAnsi="Traditional Arabic" w:cs="Traditional Arabic"/>
          <w:sz w:val="30"/>
          <w:szCs w:val="30"/>
          <w:rtl/>
          <w:lang w:val="en-US"/>
        </w:rPr>
        <w:tab/>
        <w:t>حامض السلفونيك البيرفلوروكتاني وأملاحه وفلوريد السلفونيل البيرفلوروكتاني: 50 ملغم/كغم؛</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t>(و)</w:t>
      </w:r>
      <w:r w:rsidRPr="00281887">
        <w:rPr>
          <w:rFonts w:ascii="Traditional Arabic" w:hAnsi="Traditional Arabic" w:cs="Traditional Arabic"/>
          <w:sz w:val="30"/>
          <w:szCs w:val="30"/>
          <w:rtl/>
          <w:lang w:val="en-US"/>
        </w:rPr>
        <w:tab/>
        <w:t>الدوديكان الحلقي السداسي البروم: 100 ملغم/كغم  و1000 ملغم/كغم؛</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t>5-</w:t>
      </w:r>
      <w:r w:rsidRPr="00281887">
        <w:rPr>
          <w:rFonts w:ascii="Traditional Arabic" w:hAnsi="Traditional Arabic" w:cs="Traditional Arabic"/>
          <w:sz w:val="30"/>
          <w:szCs w:val="30"/>
          <w:rtl/>
          <w:lang w:val="en-US"/>
        </w:rPr>
        <w:tab/>
      </w:r>
      <w:r w:rsidRPr="00281887">
        <w:rPr>
          <w:rFonts w:ascii="Traditional Arabic" w:hAnsi="Traditional Arabic" w:cs="Traditional Arabic"/>
          <w:i/>
          <w:iCs/>
          <w:sz w:val="30"/>
          <w:szCs w:val="30"/>
          <w:rtl/>
          <w:lang w:val="en-US"/>
        </w:rPr>
        <w:t xml:space="preserve">يدعو </w:t>
      </w:r>
      <w:r w:rsidRPr="00281887">
        <w:rPr>
          <w:rFonts w:ascii="Traditional Arabic" w:hAnsi="Traditional Arabic" w:cs="Traditional Arabic"/>
          <w:sz w:val="30"/>
          <w:szCs w:val="30"/>
          <w:rtl/>
          <w:lang w:val="en-US"/>
        </w:rPr>
        <w:t xml:space="preserve">البلدان الرائدة والمنظمات الرائدة إلى أن تنظر في التعليقات المقدمة عملاً بالفقرة 4 أعلاه والتعليقات المقدمة خلال الاجتماع التاسع للفريق العامل المفتوح العضوية وأن تواصل تنقيح مشروع المبادئ التوجيهية المشار إليه في الفقرة 2 أعلاه قبل 27 تشرين الثاني/نوفمبر 2014 لنشره على الموقع الشبكي </w:t>
      </w:r>
      <w:r w:rsidRPr="00281887">
        <w:rPr>
          <w:rFonts w:ascii="Traditional Arabic" w:hAnsi="Traditional Arabic" w:cs="Traditional Arabic"/>
          <w:sz w:val="30"/>
          <w:szCs w:val="30"/>
          <w:rtl/>
          <w:lang w:val="en-US"/>
        </w:rPr>
        <w:lastRenderedPageBreak/>
        <w:t xml:space="preserve">لاتفاقية بازل </w:t>
      </w:r>
      <w:r w:rsidRPr="00281887">
        <w:rPr>
          <w:rFonts w:ascii="Traditional Arabic" w:hAnsi="Traditional Arabic" w:cs="Traditional Arabic" w:hint="cs"/>
          <w:sz w:val="30"/>
          <w:szCs w:val="30"/>
          <w:rtl/>
          <w:lang w:val="en-US"/>
        </w:rPr>
        <w:t xml:space="preserve">بشأن التحكم في نقل النفايات الخطرة والتخلص منها عبر الحدود </w:t>
      </w:r>
      <w:r w:rsidRPr="00281887">
        <w:rPr>
          <w:rFonts w:ascii="Traditional Arabic" w:hAnsi="Traditional Arabic" w:cs="Traditional Arabic"/>
          <w:sz w:val="30"/>
          <w:szCs w:val="30"/>
          <w:rtl/>
          <w:lang w:val="en-US"/>
        </w:rPr>
        <w:t xml:space="preserve">ويطلب من الأمانة أن تُحيل المشاريع المنقحة للترجمة </w:t>
      </w:r>
      <w:r w:rsidRPr="00281887">
        <w:rPr>
          <w:rFonts w:ascii="Traditional Arabic" w:hAnsi="Traditional Arabic" w:cs="Traditional Arabic" w:hint="cs"/>
          <w:sz w:val="30"/>
          <w:szCs w:val="30"/>
          <w:rtl/>
          <w:lang w:val="en-US"/>
        </w:rPr>
        <w:t xml:space="preserve">من اللغة الإنجليزية </w:t>
      </w:r>
      <w:r w:rsidRPr="00281887">
        <w:rPr>
          <w:rFonts w:ascii="Traditional Arabic" w:hAnsi="Traditional Arabic" w:cs="Traditional Arabic"/>
          <w:sz w:val="30"/>
          <w:szCs w:val="30"/>
          <w:rtl/>
          <w:lang w:val="en-US"/>
        </w:rPr>
        <w:t>إلى اللغات الرسمية ال</w:t>
      </w:r>
      <w:r w:rsidRPr="00281887">
        <w:rPr>
          <w:rFonts w:ascii="Traditional Arabic" w:hAnsi="Traditional Arabic" w:cs="Traditional Arabic" w:hint="cs"/>
          <w:sz w:val="30"/>
          <w:szCs w:val="30"/>
          <w:rtl/>
          <w:lang w:val="en-US"/>
        </w:rPr>
        <w:t xml:space="preserve">خمس </w:t>
      </w:r>
      <w:r w:rsidRPr="00281887">
        <w:rPr>
          <w:rFonts w:ascii="Traditional Arabic" w:hAnsi="Traditional Arabic" w:cs="Traditional Arabic"/>
          <w:sz w:val="30"/>
          <w:szCs w:val="30"/>
          <w:rtl/>
          <w:lang w:val="en-US"/>
        </w:rPr>
        <w:t>للأمم المتحدة لتقديمها إلى مؤتمر الأطراف في اجتماعه الثاني عشر للنظر فيها واحتمال اعتمادها؛</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t>6-</w:t>
      </w:r>
      <w:r w:rsidRPr="00281887">
        <w:rPr>
          <w:rFonts w:ascii="Traditional Arabic" w:hAnsi="Traditional Arabic" w:cs="Traditional Arabic"/>
          <w:sz w:val="30"/>
          <w:szCs w:val="30"/>
          <w:rtl/>
          <w:lang w:val="en-US"/>
        </w:rPr>
        <w:tab/>
      </w:r>
      <w:r w:rsidRPr="00281887">
        <w:rPr>
          <w:rFonts w:ascii="Traditional Arabic" w:hAnsi="Traditional Arabic" w:cs="Traditional Arabic"/>
          <w:i/>
          <w:iCs/>
          <w:sz w:val="30"/>
          <w:szCs w:val="30"/>
          <w:rtl/>
          <w:lang w:val="en-US"/>
        </w:rPr>
        <w:t xml:space="preserve">يدعو </w:t>
      </w:r>
      <w:r w:rsidRPr="00281887">
        <w:rPr>
          <w:rFonts w:ascii="Traditional Arabic" w:hAnsi="Traditional Arabic" w:cs="Traditional Arabic"/>
          <w:sz w:val="30"/>
          <w:szCs w:val="30"/>
          <w:rtl/>
          <w:lang w:val="en-US"/>
        </w:rPr>
        <w:t>منظمة الأغذية والزراعة للأمم المتحدة إلى أن تعد</w:t>
      </w:r>
      <w:r w:rsidRPr="00281887">
        <w:rPr>
          <w:rFonts w:ascii="Traditional Arabic" w:hAnsi="Traditional Arabic" w:cs="Traditional Arabic" w:hint="cs"/>
          <w:sz w:val="30"/>
          <w:szCs w:val="30"/>
          <w:rtl/>
          <w:lang w:val="en-US"/>
        </w:rPr>
        <w:t xml:space="preserve">، بحلول 27 تشرين الثاني/نوفمبر 2014 </w:t>
      </w:r>
      <w:r w:rsidRPr="00281887">
        <w:rPr>
          <w:rFonts w:ascii="Traditional Arabic" w:hAnsi="Traditional Arabic" w:cs="Traditional Arabic"/>
          <w:sz w:val="30"/>
          <w:szCs w:val="30"/>
          <w:rtl/>
          <w:lang w:val="en-US"/>
        </w:rPr>
        <w:t xml:space="preserve">مشروع محدث للمبادئ التوجيهية التقنية بشأن الإدارة السليمة بيئياً للنفايات المكونة من مبيدات الآفات أو المحتوية عليها أو الملوثة بها مع مراعاة التعليقات التي سبق أن وصلت من الأطراف وغيرها من الجهات، </w:t>
      </w:r>
      <w:r w:rsidRPr="00281887">
        <w:rPr>
          <w:rFonts w:ascii="Traditional Arabic" w:hAnsi="Traditional Arabic" w:cs="Traditional Arabic" w:hint="cs"/>
          <w:sz w:val="30"/>
          <w:szCs w:val="30"/>
          <w:rtl/>
          <w:lang w:val="en-US"/>
        </w:rPr>
        <w:t xml:space="preserve">لنشرها على موقع اتفاقية بازل ويطلب إلى الأمانة أن تنقح مشروع لترجمته من اللغة الإنجليزية إلى اللغات الرسمية الخمس الأخرى للأمم المتحدة </w:t>
      </w:r>
      <w:r w:rsidRPr="00281887">
        <w:rPr>
          <w:rFonts w:ascii="Traditional Arabic" w:hAnsi="Traditional Arabic" w:cs="Traditional Arabic"/>
          <w:sz w:val="30"/>
          <w:szCs w:val="30"/>
          <w:rtl/>
          <w:lang w:val="en-US"/>
        </w:rPr>
        <w:t>للنظر فيها من جانب مؤتمر الأطراف في اجتماعه الثاني عشر؛</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t>7-</w:t>
      </w:r>
      <w:r w:rsidRPr="00281887">
        <w:rPr>
          <w:rFonts w:ascii="Traditional Arabic" w:hAnsi="Traditional Arabic" w:cs="Traditional Arabic"/>
          <w:sz w:val="30"/>
          <w:szCs w:val="30"/>
          <w:rtl/>
          <w:lang w:val="en-US"/>
        </w:rPr>
        <w:tab/>
      </w:r>
      <w:r w:rsidRPr="00281887">
        <w:rPr>
          <w:rFonts w:ascii="Traditional Arabic" w:hAnsi="Traditional Arabic" w:cs="Traditional Arabic"/>
          <w:i/>
          <w:iCs/>
          <w:sz w:val="30"/>
          <w:szCs w:val="30"/>
          <w:rtl/>
          <w:lang w:val="en-US"/>
        </w:rPr>
        <w:t xml:space="preserve">يدعو </w:t>
      </w:r>
      <w:r w:rsidRPr="00281887">
        <w:rPr>
          <w:rFonts w:ascii="Traditional Arabic" w:hAnsi="Traditional Arabic" w:cs="Traditional Arabic"/>
          <w:sz w:val="30"/>
          <w:szCs w:val="30"/>
          <w:rtl/>
          <w:lang w:val="en-US"/>
        </w:rPr>
        <w:t>الأطراف وغيرها من الجهات إلى تقديم تعليقات إلى الأمانة بشأن المشروع المنقح للمبادئ التوجيهية المشار إليه في الفقر</w:t>
      </w:r>
      <w:r w:rsidRPr="00281887">
        <w:rPr>
          <w:rFonts w:ascii="Traditional Arabic" w:hAnsi="Traditional Arabic" w:cs="Traditional Arabic" w:hint="cs"/>
          <w:sz w:val="30"/>
          <w:szCs w:val="30"/>
          <w:rtl/>
          <w:lang w:val="en-US"/>
        </w:rPr>
        <w:t xml:space="preserve">تين 5 و6 </w:t>
      </w:r>
      <w:r w:rsidRPr="00281887">
        <w:rPr>
          <w:rFonts w:ascii="Traditional Arabic" w:hAnsi="Traditional Arabic" w:cs="Traditional Arabic"/>
          <w:sz w:val="30"/>
          <w:szCs w:val="30"/>
          <w:rtl/>
          <w:lang w:val="en-US"/>
        </w:rPr>
        <w:t>أعلاه قبل 23 كانون الثاني/يناير 2015؛</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t>8-</w:t>
      </w:r>
      <w:r w:rsidRPr="00281887">
        <w:rPr>
          <w:rFonts w:ascii="Traditional Arabic" w:hAnsi="Traditional Arabic" w:cs="Traditional Arabic"/>
          <w:sz w:val="30"/>
          <w:szCs w:val="30"/>
          <w:rtl/>
          <w:lang w:val="en-US"/>
        </w:rPr>
        <w:tab/>
      </w:r>
      <w:r w:rsidRPr="00281887">
        <w:rPr>
          <w:rFonts w:ascii="Traditional Arabic" w:hAnsi="Traditional Arabic" w:cs="Traditional Arabic"/>
          <w:i/>
          <w:iCs/>
          <w:sz w:val="30"/>
          <w:szCs w:val="30"/>
          <w:rtl/>
          <w:lang w:val="en-US"/>
        </w:rPr>
        <w:t xml:space="preserve">يدعو </w:t>
      </w:r>
      <w:r w:rsidRPr="00281887">
        <w:rPr>
          <w:rFonts w:ascii="Traditional Arabic" w:hAnsi="Traditional Arabic" w:cs="Traditional Arabic"/>
          <w:sz w:val="30"/>
          <w:szCs w:val="30"/>
          <w:rtl/>
          <w:lang w:val="en-US"/>
        </w:rPr>
        <w:t>البلدان الرائدة والمنظمات الرائدة إلى أن تعد مشروع منقح آخر بالتشاور مع الفريق الصغير العامل فيما بين الدورات للمشروع المنقح للمبادئ التوجيهية التقنية المشار إليه في الفقر</w:t>
      </w:r>
      <w:r w:rsidRPr="00281887">
        <w:rPr>
          <w:rFonts w:ascii="Traditional Arabic" w:hAnsi="Traditional Arabic" w:cs="Traditional Arabic" w:hint="cs"/>
          <w:sz w:val="30"/>
          <w:szCs w:val="30"/>
          <w:rtl/>
          <w:lang w:val="en-US"/>
        </w:rPr>
        <w:t xml:space="preserve">تين 5 و6 </w:t>
      </w:r>
      <w:r w:rsidRPr="00281887">
        <w:rPr>
          <w:rFonts w:ascii="Traditional Arabic" w:hAnsi="Traditional Arabic" w:cs="Traditional Arabic"/>
          <w:sz w:val="30"/>
          <w:szCs w:val="30"/>
          <w:rtl/>
          <w:lang w:val="en-US"/>
        </w:rPr>
        <w:t xml:space="preserve">أعلاه </w:t>
      </w:r>
      <w:r w:rsidRPr="00281887">
        <w:rPr>
          <w:rFonts w:ascii="Traditional Arabic" w:hAnsi="Traditional Arabic" w:cs="Traditional Arabic" w:hint="cs"/>
          <w:sz w:val="30"/>
          <w:szCs w:val="30"/>
          <w:rtl/>
          <w:lang w:val="en-US"/>
        </w:rPr>
        <w:t xml:space="preserve">بحلول 6 آذار/مارس 2015 لنشرها على موقع اتفاقية بازل على الشبكة، </w:t>
      </w:r>
      <w:r w:rsidRPr="00281887">
        <w:rPr>
          <w:rFonts w:ascii="Traditional Arabic" w:hAnsi="Traditional Arabic" w:cs="Traditional Arabic"/>
          <w:sz w:val="30"/>
          <w:szCs w:val="30"/>
          <w:rtl/>
          <w:lang w:val="en-US"/>
        </w:rPr>
        <w:t>ويطلب من الأمانة أن تتيحها في شكل وثائق معلومات للعرض على الاجتماع الثاني عشر لمؤتمر الأطراف في اتفاقية بازل؛</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281887">
        <w:rPr>
          <w:rFonts w:ascii="Traditional Arabic" w:hAnsi="Traditional Arabic" w:cs="Traditional Arabic" w:hint="cs"/>
          <w:sz w:val="30"/>
          <w:szCs w:val="30"/>
          <w:rtl/>
          <w:lang w:val="en-US"/>
        </w:rPr>
        <w:t>9</w:t>
      </w:r>
      <w:r w:rsidRPr="00281887">
        <w:rPr>
          <w:rFonts w:ascii="Traditional Arabic" w:hAnsi="Traditional Arabic" w:cs="Traditional Arabic"/>
          <w:sz w:val="30"/>
          <w:szCs w:val="30"/>
          <w:rtl/>
          <w:lang w:val="en-US"/>
        </w:rPr>
        <w:t>-</w:t>
      </w:r>
      <w:r w:rsidRPr="00281887">
        <w:rPr>
          <w:rFonts w:ascii="Traditional Arabic" w:hAnsi="Traditional Arabic" w:cs="Traditional Arabic"/>
          <w:sz w:val="30"/>
          <w:szCs w:val="30"/>
          <w:rtl/>
          <w:lang w:val="en-US"/>
        </w:rPr>
        <w:tab/>
      </w:r>
      <w:r w:rsidRPr="00281887">
        <w:rPr>
          <w:rFonts w:ascii="Traditional Arabic" w:hAnsi="Traditional Arabic" w:cs="Traditional Arabic"/>
          <w:i/>
          <w:iCs/>
          <w:sz w:val="30"/>
          <w:szCs w:val="30"/>
          <w:rtl/>
          <w:lang w:val="en-US"/>
        </w:rPr>
        <w:t>يدعو</w:t>
      </w:r>
      <w:r w:rsidRPr="00281887">
        <w:rPr>
          <w:rFonts w:ascii="Traditional Arabic" w:hAnsi="Traditional Arabic" w:cs="Traditional Arabic"/>
          <w:sz w:val="30"/>
          <w:szCs w:val="30"/>
          <w:rtl/>
          <w:lang w:val="en-US"/>
        </w:rPr>
        <w:t xml:space="preserve"> الأطراف وغيرها من الجهات إلى تقديم تعليقات </w:t>
      </w:r>
      <w:r w:rsidRPr="00281887">
        <w:rPr>
          <w:rFonts w:ascii="Traditional Arabic" w:hAnsi="Traditional Arabic" w:cs="Traditional Arabic" w:hint="cs"/>
          <w:sz w:val="30"/>
          <w:szCs w:val="30"/>
          <w:rtl/>
          <w:lang w:val="en-US"/>
        </w:rPr>
        <w:t xml:space="preserve">بحلول 10 نيسان/أبريل 2015 </w:t>
      </w:r>
      <w:r w:rsidRPr="00281887">
        <w:rPr>
          <w:rFonts w:ascii="Traditional Arabic" w:hAnsi="Traditional Arabic" w:cs="Traditional Arabic"/>
          <w:sz w:val="30"/>
          <w:szCs w:val="30"/>
          <w:rtl/>
          <w:lang w:val="en-US"/>
        </w:rPr>
        <w:t xml:space="preserve">بشأن المشروع الآخر للمبادئ التوجيهية التقنية الذي أُتيح </w:t>
      </w:r>
      <w:r w:rsidRPr="00281887">
        <w:rPr>
          <w:rFonts w:ascii="Traditional Arabic" w:hAnsi="Traditional Arabic" w:cs="Traditional Arabic" w:hint="cs"/>
          <w:sz w:val="30"/>
          <w:szCs w:val="30"/>
          <w:rtl/>
          <w:lang w:val="en-US"/>
        </w:rPr>
        <w:t xml:space="preserve">على الإنترنت على موقع اتفاقية بازل </w:t>
      </w:r>
      <w:r w:rsidRPr="00281887">
        <w:rPr>
          <w:rFonts w:ascii="Traditional Arabic" w:hAnsi="Traditional Arabic" w:cs="Traditional Arabic"/>
          <w:sz w:val="30"/>
          <w:szCs w:val="30"/>
          <w:rtl/>
          <w:lang w:val="en-US"/>
        </w:rPr>
        <w:t xml:space="preserve">ويطلب من الأمانة أن تُجمع التعليقات </w:t>
      </w:r>
      <w:r w:rsidRPr="00281887">
        <w:rPr>
          <w:rFonts w:ascii="Traditional Arabic" w:hAnsi="Traditional Arabic" w:cs="Traditional Arabic" w:hint="cs"/>
          <w:sz w:val="30"/>
          <w:szCs w:val="30"/>
          <w:rtl/>
          <w:lang w:val="en-US"/>
        </w:rPr>
        <w:t xml:space="preserve">الواردة </w:t>
      </w:r>
      <w:r w:rsidRPr="00281887">
        <w:rPr>
          <w:rFonts w:ascii="Traditional Arabic" w:hAnsi="Traditional Arabic" w:cs="Traditional Arabic"/>
          <w:sz w:val="30"/>
          <w:szCs w:val="30"/>
          <w:rtl/>
          <w:lang w:val="en-US"/>
        </w:rPr>
        <w:t>للعلم ونشرها على الموقع الشبكي لاتفاقية بازل،</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7"/>
        <w:jc w:val="both"/>
        <w:rPr>
          <w:rFonts w:ascii="Traditional Arabic" w:hAnsi="Traditional Arabic" w:cs="Traditional Arabic"/>
          <w:sz w:val="30"/>
          <w:szCs w:val="30"/>
          <w:rtl/>
          <w:lang w:val="en-US"/>
        </w:rPr>
      </w:pPr>
      <w:r w:rsidRPr="00281887">
        <w:rPr>
          <w:rFonts w:ascii="Traditional Arabic" w:hAnsi="Traditional Arabic" w:cs="Traditional Arabic" w:hint="cs"/>
          <w:sz w:val="30"/>
          <w:szCs w:val="30"/>
          <w:rtl/>
          <w:lang w:val="en-US"/>
        </w:rPr>
        <w:t>10</w:t>
      </w:r>
      <w:r w:rsidRPr="00281887">
        <w:rPr>
          <w:rFonts w:ascii="Traditional Arabic" w:hAnsi="Traditional Arabic" w:cs="Traditional Arabic"/>
          <w:sz w:val="30"/>
          <w:szCs w:val="30"/>
          <w:rtl/>
          <w:lang w:val="en-US"/>
        </w:rPr>
        <w:t>-</w:t>
      </w:r>
      <w:r w:rsidRPr="00281887">
        <w:rPr>
          <w:rFonts w:ascii="Traditional Arabic" w:hAnsi="Traditional Arabic" w:cs="Traditional Arabic"/>
          <w:sz w:val="30"/>
          <w:szCs w:val="30"/>
          <w:rtl/>
          <w:lang w:val="en-US"/>
        </w:rPr>
        <w:tab/>
      </w:r>
      <w:r w:rsidRPr="00281887">
        <w:rPr>
          <w:rFonts w:ascii="Traditional Arabic" w:hAnsi="Traditional Arabic" w:cs="Traditional Arabic"/>
          <w:i/>
          <w:iCs/>
          <w:sz w:val="30"/>
          <w:szCs w:val="30"/>
          <w:rtl/>
          <w:lang w:val="en-US"/>
        </w:rPr>
        <w:t xml:space="preserve">يدرك </w:t>
      </w:r>
      <w:r w:rsidRPr="00281887">
        <w:rPr>
          <w:rFonts w:ascii="Traditional Arabic" w:hAnsi="Traditional Arabic" w:cs="Traditional Arabic"/>
          <w:sz w:val="30"/>
          <w:szCs w:val="30"/>
          <w:rtl/>
          <w:lang w:val="en-US"/>
        </w:rPr>
        <w:t>أهمية الإيثر الثنائي الفينيل العشاري البروم باعتباره سليفةً للإيثر الثنائي الفينيل الخماسي البروم والإيثر الثنائي الفينيل الثماني البروم ويوصي مؤتمر الأطراف بأن ينظر خلال اجتماعه الثاني عشر في تحديد وإدراج العمل المتعلق بالإيثر الثنائي الفينيل العشاري البروم في برنامج عمل الفريق العامل المفتوح العضوية للفترة 2016-2017 مع مراعاة العمل الذي ينفذ في إطار اتفاقية استكهولم بشأن الملوثات العضوية الثابتة ويدعو الأطراف إلى أن تنظر في العمل كبلد رائد في هذا العمل؛</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t>1</w:t>
      </w:r>
      <w:r w:rsidRPr="00281887">
        <w:rPr>
          <w:rFonts w:ascii="Traditional Arabic" w:hAnsi="Traditional Arabic" w:cs="Traditional Arabic" w:hint="cs"/>
          <w:sz w:val="30"/>
          <w:szCs w:val="30"/>
          <w:rtl/>
          <w:lang w:val="en-US"/>
        </w:rPr>
        <w:t>1</w:t>
      </w:r>
      <w:r w:rsidRPr="00281887">
        <w:rPr>
          <w:rFonts w:ascii="Traditional Arabic" w:hAnsi="Traditional Arabic" w:cs="Traditional Arabic"/>
          <w:sz w:val="30"/>
          <w:szCs w:val="30"/>
          <w:rtl/>
          <w:lang w:val="en-US"/>
        </w:rPr>
        <w:t>-</w:t>
      </w:r>
      <w:r w:rsidRPr="00281887">
        <w:rPr>
          <w:rFonts w:ascii="Traditional Arabic" w:hAnsi="Traditional Arabic" w:cs="Traditional Arabic"/>
          <w:sz w:val="30"/>
          <w:szCs w:val="30"/>
          <w:rtl/>
          <w:lang w:val="en-US"/>
        </w:rPr>
        <w:tab/>
      </w:r>
      <w:r w:rsidRPr="00281887">
        <w:rPr>
          <w:rFonts w:ascii="Traditional Arabic" w:hAnsi="Traditional Arabic" w:cs="Traditional Arabic"/>
          <w:i/>
          <w:iCs/>
          <w:sz w:val="30"/>
          <w:szCs w:val="30"/>
          <w:rtl/>
          <w:lang w:val="en-US"/>
        </w:rPr>
        <w:t xml:space="preserve">يدرك أيضاً </w:t>
      </w:r>
      <w:r w:rsidRPr="00281887">
        <w:rPr>
          <w:rFonts w:ascii="Traditional Arabic" w:hAnsi="Traditional Arabic" w:cs="Traditional Arabic"/>
          <w:sz w:val="30"/>
          <w:szCs w:val="30"/>
          <w:rtl/>
          <w:lang w:val="en-US"/>
        </w:rPr>
        <w:t xml:space="preserve">الحاجة إلى توضيح لمدى سريان اتفاقية بازل على النفايات المكونة من أو المحتوية على أو الملوثة بالإيثرات الثنائية الفينيل المتعددة البروم ويوصي مؤتمر الأطراف بأن ينظر خلال اجتماعه الثاني عشر في إدراج العمل المتعلق بتفسير القيد </w:t>
      </w:r>
      <w:r w:rsidRPr="00281887">
        <w:rPr>
          <w:rFonts w:cs="Simplified Arabic"/>
          <w:lang w:val="en-US"/>
        </w:rPr>
        <w:t>A3180</w:t>
      </w:r>
      <w:r w:rsidRPr="00281887">
        <w:rPr>
          <w:rFonts w:cs="Simplified Arabic"/>
          <w:sz w:val="24"/>
          <w:szCs w:val="24"/>
          <w:rtl/>
          <w:lang w:val="en-US"/>
        </w:rPr>
        <w:t xml:space="preserve"> </w:t>
      </w:r>
      <w:r w:rsidRPr="00281887">
        <w:rPr>
          <w:rFonts w:ascii="Traditional Arabic" w:hAnsi="Traditional Arabic" w:cs="Traditional Arabic"/>
          <w:sz w:val="30"/>
          <w:szCs w:val="30"/>
          <w:rtl/>
          <w:lang w:val="en-US"/>
        </w:rPr>
        <w:t>بالمرفق الثامن لاتفاقية بازل في برنامج عمل الفريق العامل المفتوح العضوية للفترة 2016-2017؛</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lastRenderedPageBreak/>
        <w:t>1</w:t>
      </w:r>
      <w:r w:rsidRPr="00281887">
        <w:rPr>
          <w:rFonts w:ascii="Traditional Arabic" w:hAnsi="Traditional Arabic" w:cs="Traditional Arabic" w:hint="cs"/>
          <w:sz w:val="30"/>
          <w:szCs w:val="30"/>
          <w:rtl/>
          <w:lang w:val="en-US"/>
        </w:rPr>
        <w:t>2</w:t>
      </w:r>
      <w:r w:rsidRPr="00281887">
        <w:rPr>
          <w:rFonts w:ascii="Traditional Arabic" w:hAnsi="Traditional Arabic" w:cs="Traditional Arabic"/>
          <w:sz w:val="30"/>
          <w:szCs w:val="30"/>
          <w:rtl/>
          <w:lang w:val="en-US"/>
        </w:rPr>
        <w:t>-</w:t>
      </w:r>
      <w:r w:rsidRPr="00281887">
        <w:rPr>
          <w:rFonts w:ascii="Traditional Arabic" w:hAnsi="Traditional Arabic" w:cs="Traditional Arabic"/>
          <w:sz w:val="30"/>
          <w:szCs w:val="30"/>
          <w:rtl/>
          <w:lang w:val="en-US"/>
        </w:rPr>
        <w:tab/>
      </w:r>
      <w:r w:rsidRPr="00281887">
        <w:rPr>
          <w:rFonts w:ascii="Traditional Arabic" w:hAnsi="Traditional Arabic" w:cs="Traditional Arabic"/>
          <w:i/>
          <w:iCs/>
          <w:sz w:val="30"/>
          <w:szCs w:val="30"/>
          <w:rtl/>
          <w:lang w:val="en-US"/>
        </w:rPr>
        <w:t xml:space="preserve">يطلب </w:t>
      </w:r>
      <w:r w:rsidRPr="00281887">
        <w:rPr>
          <w:rFonts w:ascii="Traditional Arabic" w:hAnsi="Traditional Arabic" w:cs="Traditional Arabic"/>
          <w:sz w:val="30"/>
          <w:szCs w:val="30"/>
          <w:rtl/>
          <w:lang w:val="en-US"/>
        </w:rPr>
        <w:t>من الأمانة أن تُحيل إلى أمانة اتفاقية استكهولم التعليقات التي أبداها الفريق العامل المفتوح العضوية</w:t>
      </w:r>
      <w:r w:rsidRPr="00281887">
        <w:rPr>
          <w:rFonts w:ascii="Traditional Arabic" w:hAnsi="Traditional Arabic" w:cs="Traditional Arabic" w:hint="cs"/>
          <w:sz w:val="30"/>
          <w:szCs w:val="30"/>
          <w:vertAlign w:val="superscript"/>
          <w:rtl/>
          <w:lang w:val="en-US"/>
        </w:rPr>
        <w:t>(</w:t>
      </w:r>
      <w:r w:rsidRPr="00281887">
        <w:rPr>
          <w:rFonts w:ascii="Traditional Arabic" w:hAnsi="Traditional Arabic" w:cs="Traditional Arabic"/>
          <w:szCs w:val="30"/>
          <w:vertAlign w:val="superscript"/>
          <w:rtl/>
          <w:lang w:val="en-US"/>
        </w:rPr>
        <w:footnoteReference w:id="4"/>
      </w:r>
      <w:r w:rsidRPr="00281887">
        <w:rPr>
          <w:rFonts w:ascii="Traditional Arabic" w:hAnsi="Traditional Arabic" w:cs="Traditional Arabic" w:hint="cs"/>
          <w:sz w:val="30"/>
          <w:szCs w:val="30"/>
          <w:vertAlign w:val="superscript"/>
          <w:rtl/>
          <w:lang w:val="en-US"/>
        </w:rPr>
        <w:t>)</w:t>
      </w:r>
      <w:r w:rsidRPr="00281887">
        <w:rPr>
          <w:rFonts w:ascii="Traditional Arabic" w:hAnsi="Traditional Arabic" w:cs="Traditional Arabic"/>
          <w:sz w:val="30"/>
          <w:szCs w:val="30"/>
          <w:rtl/>
          <w:lang w:val="en-US"/>
        </w:rPr>
        <w:t xml:space="preserve"> على مشاريع وثائق التوجيهات الأربعة لاتفاقية استكهولم</w:t>
      </w:r>
      <w:r w:rsidRPr="00281887">
        <w:rPr>
          <w:rFonts w:ascii="Traditional Arabic" w:hAnsi="Traditional Arabic" w:cs="Traditional Arabic" w:hint="cs"/>
          <w:sz w:val="30"/>
          <w:szCs w:val="30"/>
          <w:vertAlign w:val="superscript"/>
          <w:rtl/>
          <w:lang w:val="en-US"/>
        </w:rPr>
        <w:t>(</w:t>
      </w:r>
      <w:r w:rsidRPr="00281887">
        <w:rPr>
          <w:rFonts w:ascii="Traditional Arabic" w:hAnsi="Traditional Arabic" w:cs="Traditional Arabic"/>
          <w:szCs w:val="30"/>
          <w:vertAlign w:val="superscript"/>
          <w:rtl/>
          <w:lang w:val="en-US"/>
        </w:rPr>
        <w:footnoteReference w:id="5"/>
      </w:r>
      <w:r w:rsidRPr="00281887">
        <w:rPr>
          <w:rFonts w:ascii="Traditional Arabic" w:hAnsi="Traditional Arabic" w:cs="Traditional Arabic" w:hint="cs"/>
          <w:sz w:val="30"/>
          <w:szCs w:val="30"/>
          <w:vertAlign w:val="superscript"/>
          <w:rtl/>
          <w:lang w:val="en-US"/>
        </w:rPr>
        <w:t>)</w:t>
      </w:r>
      <w:r w:rsidRPr="00281887">
        <w:rPr>
          <w:rFonts w:ascii="Traditional Arabic" w:hAnsi="Traditional Arabic" w:cs="Traditional Arabic"/>
          <w:sz w:val="30"/>
          <w:szCs w:val="30"/>
          <w:rtl/>
          <w:lang w:val="en-US"/>
        </w:rPr>
        <w:t xml:space="preserve"> في موعد لا</w:t>
      </w:r>
      <w:r w:rsidRPr="00281887">
        <w:rPr>
          <w:rFonts w:ascii="Traditional Arabic" w:hAnsi="Traditional Arabic" w:cs="Traditional Arabic" w:hint="cs"/>
          <w:sz w:val="30"/>
          <w:szCs w:val="30"/>
          <w:rtl/>
          <w:lang w:val="en-US"/>
        </w:rPr>
        <w:t xml:space="preserve"> </w:t>
      </w:r>
      <w:r w:rsidRPr="00281887">
        <w:rPr>
          <w:rFonts w:ascii="Traditional Arabic" w:hAnsi="Traditional Arabic" w:cs="Traditional Arabic"/>
          <w:sz w:val="30"/>
          <w:szCs w:val="30"/>
          <w:rtl/>
          <w:lang w:val="en-US"/>
        </w:rPr>
        <w:t>يتجاوز 31 تشرين الأول/أكتوبر 2014 حسب الطلب الوارد في الفقرة 9</w:t>
      </w:r>
      <w:r w:rsidRPr="00281887">
        <w:rPr>
          <w:rFonts w:ascii="Traditional Arabic" w:hAnsi="Traditional Arabic" w:cs="Traditional Arabic" w:hint="cs"/>
          <w:sz w:val="30"/>
          <w:szCs w:val="30"/>
          <w:rtl/>
          <w:lang w:val="en-US"/>
        </w:rPr>
        <w:t xml:space="preserve"> </w:t>
      </w:r>
      <w:r w:rsidRPr="00281887">
        <w:rPr>
          <w:rFonts w:ascii="Traditional Arabic" w:hAnsi="Traditional Arabic" w:cs="Traditional Arabic"/>
          <w:sz w:val="30"/>
          <w:szCs w:val="30"/>
          <w:rtl/>
          <w:lang w:val="en-US"/>
        </w:rPr>
        <w:t>(ب) من المقرر ا ب 11/3؛</w:t>
      </w:r>
    </w:p>
    <w:p w:rsidR="00281887" w:rsidRPr="00281887" w:rsidRDefault="00281887" w:rsidP="00281887">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281887">
        <w:rPr>
          <w:rFonts w:ascii="Traditional Arabic" w:hAnsi="Traditional Arabic" w:cs="Traditional Arabic"/>
          <w:sz w:val="30"/>
          <w:szCs w:val="30"/>
          <w:rtl/>
          <w:lang w:val="en-US"/>
        </w:rPr>
        <w:t>1</w:t>
      </w:r>
      <w:r w:rsidRPr="00281887">
        <w:rPr>
          <w:rFonts w:ascii="Traditional Arabic" w:hAnsi="Traditional Arabic" w:cs="Traditional Arabic" w:hint="cs"/>
          <w:sz w:val="30"/>
          <w:szCs w:val="30"/>
          <w:rtl/>
          <w:lang w:val="en-US"/>
        </w:rPr>
        <w:t>3</w:t>
      </w:r>
      <w:r w:rsidRPr="00281887">
        <w:rPr>
          <w:rFonts w:ascii="Traditional Arabic" w:hAnsi="Traditional Arabic" w:cs="Traditional Arabic"/>
          <w:sz w:val="30"/>
          <w:szCs w:val="30"/>
          <w:rtl/>
          <w:lang w:val="en-US"/>
        </w:rPr>
        <w:t>-</w:t>
      </w:r>
      <w:r w:rsidRPr="00281887">
        <w:rPr>
          <w:rFonts w:ascii="Traditional Arabic" w:hAnsi="Traditional Arabic" w:cs="Traditional Arabic"/>
          <w:sz w:val="30"/>
          <w:szCs w:val="30"/>
          <w:rtl/>
          <w:lang w:val="en-US"/>
        </w:rPr>
        <w:tab/>
      </w:r>
      <w:r w:rsidRPr="00281887">
        <w:rPr>
          <w:rFonts w:ascii="Traditional Arabic" w:hAnsi="Traditional Arabic" w:cs="Traditional Arabic"/>
          <w:i/>
          <w:iCs/>
          <w:sz w:val="30"/>
          <w:szCs w:val="30"/>
          <w:rtl/>
          <w:lang w:val="en-US"/>
        </w:rPr>
        <w:t xml:space="preserve">يطلب </w:t>
      </w:r>
      <w:r w:rsidRPr="00281887">
        <w:rPr>
          <w:rFonts w:ascii="Traditional Arabic" w:hAnsi="Traditional Arabic" w:cs="Traditional Arabic"/>
          <w:sz w:val="30"/>
          <w:szCs w:val="30"/>
          <w:rtl/>
          <w:lang w:val="en-US"/>
        </w:rPr>
        <w:t>من الأمانة أن تبلغ الهيئات المعنية في اتفاقية استكهولم بالعمل الذي اضطلع به الفريق العامل المفتوح العضوية بشأن المبادئ التوجيهية التقنية المتعلقة بالملوثات العضوية الثابتة.</w:t>
      </w:r>
    </w:p>
    <w:p w:rsidR="000B25F8" w:rsidRPr="00281887" w:rsidRDefault="000B25F8" w:rsidP="00281887"/>
    <w:sectPr w:rsidR="000B25F8" w:rsidRPr="00281887" w:rsidSect="00350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5F8" w:rsidRDefault="000B25F8" w:rsidP="000B25F8">
      <w:r>
        <w:separator/>
      </w:r>
    </w:p>
  </w:endnote>
  <w:endnote w:type="continuationSeparator" w:id="0">
    <w:p w:rsidR="000B25F8" w:rsidRDefault="000B25F8" w:rsidP="000B25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5F8" w:rsidRDefault="000B25F8" w:rsidP="000B25F8">
      <w:r>
        <w:separator/>
      </w:r>
    </w:p>
  </w:footnote>
  <w:footnote w:type="continuationSeparator" w:id="0">
    <w:p w:rsidR="000B25F8" w:rsidRDefault="000B25F8" w:rsidP="000B25F8">
      <w:r>
        <w:continuationSeparator/>
      </w:r>
    </w:p>
  </w:footnote>
  <w:footnote w:id="1">
    <w:p w:rsidR="00281887" w:rsidRPr="00495999" w:rsidRDefault="00281887" w:rsidP="00281887">
      <w:pPr>
        <w:pStyle w:val="FootnoteText"/>
        <w:spacing w:line="300" w:lineRule="exact"/>
        <w:ind w:left="1134"/>
        <w:jc w:val="both"/>
        <w:rPr>
          <w:rFonts w:ascii="Traditional Arabic" w:hAnsi="Traditional Arabic" w:cs="Traditional Arabic" w:hint="cs"/>
          <w:sz w:val="26"/>
          <w:szCs w:val="26"/>
          <w:rtl/>
        </w:rPr>
      </w:pPr>
      <w:r w:rsidRPr="00495999">
        <w:rPr>
          <w:rFonts w:ascii="Traditional Arabic" w:hAnsi="Traditional Arabic" w:cs="Traditional Arabic"/>
          <w:sz w:val="26"/>
          <w:szCs w:val="26"/>
          <w:rtl/>
        </w:rPr>
        <w:t>(</w:t>
      </w:r>
      <w:r w:rsidRPr="00495999">
        <w:rPr>
          <w:rFonts w:ascii="Traditional Arabic" w:hAnsi="Traditional Arabic" w:cs="Traditional Arabic"/>
          <w:sz w:val="26"/>
          <w:szCs w:val="26"/>
        </w:rPr>
        <w:t>(</w:t>
      </w:r>
      <w:r w:rsidRPr="00495999">
        <w:rPr>
          <w:rStyle w:val="FootnoteReference"/>
          <w:rFonts w:ascii="Traditional Arabic" w:hAnsi="Traditional Arabic" w:cs="Traditional Arabic"/>
          <w:sz w:val="26"/>
          <w:szCs w:val="26"/>
        </w:rPr>
        <w:footnoteRef/>
      </w:r>
      <w:r w:rsidRPr="00495999">
        <w:rPr>
          <w:rFonts w:ascii="Traditional Arabic" w:hAnsi="Traditional Arabic" w:cs="Traditional Arabic"/>
          <w:sz w:val="26"/>
          <w:szCs w:val="26"/>
          <w:rtl/>
        </w:rPr>
        <w:t xml:space="preserve"> </w:t>
      </w:r>
      <w:r w:rsidRPr="00495999">
        <w:rPr>
          <w:szCs w:val="18"/>
        </w:rPr>
        <w:t>UNEP/CHW/OEWG.9/INF/9</w:t>
      </w:r>
      <w:r>
        <w:rPr>
          <w:szCs w:val="18"/>
        </w:rPr>
        <w:t>-</w:t>
      </w:r>
      <w:r w:rsidRPr="00495999">
        <w:rPr>
          <w:szCs w:val="18"/>
        </w:rPr>
        <w:t>13</w:t>
      </w:r>
      <w:r>
        <w:rPr>
          <w:rFonts w:ascii="Traditional Arabic" w:hAnsi="Traditional Arabic" w:cs="Traditional Arabic" w:hint="cs"/>
          <w:sz w:val="26"/>
          <w:szCs w:val="26"/>
          <w:rtl/>
        </w:rPr>
        <w:t xml:space="preserve"> و</w:t>
      </w:r>
      <w:r w:rsidRPr="00495999">
        <w:rPr>
          <w:szCs w:val="18"/>
        </w:rPr>
        <w:t>INF/23</w:t>
      </w:r>
      <w:r>
        <w:rPr>
          <w:rFonts w:hint="cs"/>
          <w:szCs w:val="18"/>
          <w:rtl/>
        </w:rPr>
        <w:t>.</w:t>
      </w:r>
    </w:p>
  </w:footnote>
  <w:footnote w:id="2">
    <w:p w:rsidR="00281887" w:rsidRPr="00495999" w:rsidRDefault="00281887" w:rsidP="00281887">
      <w:pPr>
        <w:pStyle w:val="FootnoteText"/>
        <w:spacing w:line="300" w:lineRule="exact"/>
        <w:ind w:left="1134"/>
        <w:jc w:val="both"/>
        <w:rPr>
          <w:rFonts w:hint="cs"/>
          <w:rtl/>
        </w:rPr>
      </w:pPr>
      <w:r w:rsidRPr="00495999">
        <w:rPr>
          <w:rFonts w:ascii="Traditional Arabic" w:hAnsi="Traditional Arabic" w:cs="Traditional Arabic"/>
          <w:sz w:val="26"/>
          <w:szCs w:val="26"/>
          <w:rtl/>
        </w:rPr>
        <w:t>(</w:t>
      </w:r>
      <w:r w:rsidRPr="00495999">
        <w:rPr>
          <w:rFonts w:ascii="Traditional Arabic" w:hAnsi="Traditional Arabic" w:cs="Traditional Arabic"/>
          <w:sz w:val="26"/>
          <w:szCs w:val="26"/>
        </w:rPr>
        <w:t>(</w:t>
      </w:r>
      <w:r w:rsidRPr="00495999">
        <w:rPr>
          <w:rStyle w:val="FootnoteReference"/>
          <w:rFonts w:ascii="Traditional Arabic" w:hAnsi="Traditional Arabic" w:cs="Traditional Arabic"/>
          <w:sz w:val="26"/>
          <w:szCs w:val="26"/>
        </w:rPr>
        <w:footnoteRef/>
      </w:r>
      <w:r w:rsidRPr="00495999">
        <w:rPr>
          <w:rFonts w:ascii="Traditional Arabic" w:hAnsi="Traditional Arabic" w:cs="Traditional Arabic"/>
          <w:sz w:val="26"/>
          <w:szCs w:val="26"/>
          <w:rtl/>
        </w:rPr>
        <w:t xml:space="preserve"> </w:t>
      </w:r>
      <w:r w:rsidRPr="00495999">
        <w:rPr>
          <w:szCs w:val="18"/>
        </w:rPr>
        <w:t>UNEP/CHW/OEWG.9/INF/9/Add.1</w:t>
      </w:r>
      <w:r w:rsidRPr="00495999">
        <w:rPr>
          <w:szCs w:val="18"/>
          <w:rtl/>
        </w:rPr>
        <w:t>.</w:t>
      </w:r>
    </w:p>
  </w:footnote>
  <w:footnote w:id="3">
    <w:p w:rsidR="00281887" w:rsidRPr="00495999" w:rsidRDefault="00281887" w:rsidP="00281887">
      <w:pPr>
        <w:pStyle w:val="FootnoteText"/>
        <w:spacing w:line="300" w:lineRule="exact"/>
        <w:ind w:left="1134"/>
        <w:jc w:val="both"/>
        <w:rPr>
          <w:rtl/>
        </w:rPr>
      </w:pPr>
      <w:r w:rsidRPr="00495999">
        <w:rPr>
          <w:rFonts w:ascii="Traditional Arabic" w:hAnsi="Traditional Arabic" w:cs="Traditional Arabic"/>
          <w:sz w:val="26"/>
          <w:szCs w:val="26"/>
          <w:rtl/>
        </w:rPr>
        <w:t>(</w:t>
      </w:r>
      <w:r w:rsidRPr="00495999">
        <w:rPr>
          <w:rFonts w:ascii="Traditional Arabic" w:hAnsi="Traditional Arabic" w:cs="Traditional Arabic"/>
          <w:sz w:val="26"/>
          <w:szCs w:val="26"/>
        </w:rPr>
        <w:t>(</w:t>
      </w:r>
      <w:r w:rsidRPr="00495999">
        <w:rPr>
          <w:rStyle w:val="FootnoteReference"/>
          <w:rFonts w:ascii="Traditional Arabic" w:hAnsi="Traditional Arabic" w:cs="Traditional Arabic"/>
          <w:sz w:val="26"/>
          <w:szCs w:val="26"/>
        </w:rPr>
        <w:footnoteRef/>
      </w:r>
      <w:r w:rsidRPr="00495999">
        <w:rPr>
          <w:rFonts w:ascii="Traditional Arabic" w:hAnsi="Traditional Arabic" w:cs="Traditional Arabic"/>
          <w:sz w:val="26"/>
          <w:szCs w:val="26"/>
          <w:rtl/>
        </w:rPr>
        <w:t xml:space="preserve"> </w:t>
      </w:r>
      <w:r w:rsidRPr="00495999">
        <w:rPr>
          <w:szCs w:val="18"/>
        </w:rPr>
        <w:t>UNEP/CHW/OEWG.9/INF/9/Add.2</w:t>
      </w:r>
      <w:r w:rsidRPr="00495999">
        <w:rPr>
          <w:szCs w:val="18"/>
          <w:rtl/>
        </w:rPr>
        <w:t>.</w:t>
      </w:r>
    </w:p>
  </w:footnote>
  <w:footnote w:id="4">
    <w:p w:rsidR="00281887" w:rsidRPr="00495999" w:rsidRDefault="00281887" w:rsidP="00281887">
      <w:pPr>
        <w:pStyle w:val="FootnoteText"/>
        <w:spacing w:after="60" w:line="300" w:lineRule="exact"/>
        <w:ind w:left="1134"/>
        <w:jc w:val="both"/>
        <w:rPr>
          <w:rtl/>
        </w:rPr>
      </w:pPr>
      <w:r w:rsidRPr="00495999">
        <w:rPr>
          <w:rFonts w:ascii="Traditional Arabic" w:hAnsi="Traditional Arabic" w:cs="Traditional Arabic"/>
          <w:sz w:val="26"/>
          <w:szCs w:val="26"/>
          <w:rtl/>
        </w:rPr>
        <w:t>(</w:t>
      </w:r>
      <w:r w:rsidRPr="00495999">
        <w:rPr>
          <w:rFonts w:ascii="Traditional Arabic" w:hAnsi="Traditional Arabic" w:cs="Traditional Arabic"/>
          <w:sz w:val="26"/>
          <w:szCs w:val="26"/>
        </w:rPr>
        <w:t>(</w:t>
      </w:r>
      <w:r w:rsidRPr="00495999">
        <w:rPr>
          <w:rStyle w:val="FootnoteReference"/>
          <w:rFonts w:ascii="Traditional Arabic" w:hAnsi="Traditional Arabic" w:cs="Traditional Arabic"/>
          <w:sz w:val="26"/>
          <w:szCs w:val="26"/>
        </w:rPr>
        <w:footnoteRef/>
      </w:r>
      <w:r w:rsidRPr="00495999">
        <w:rPr>
          <w:rFonts w:ascii="Traditional Arabic" w:hAnsi="Traditional Arabic" w:cs="Traditional Arabic"/>
          <w:sz w:val="26"/>
          <w:szCs w:val="26"/>
          <w:rtl/>
        </w:rPr>
        <w:t xml:space="preserve"> </w:t>
      </w:r>
      <w:r w:rsidRPr="00495999">
        <w:rPr>
          <w:szCs w:val="18"/>
        </w:rPr>
        <w:t>UNEP/CHW/OEWG.9/INF/30/Rev.1</w:t>
      </w:r>
      <w:r w:rsidRPr="00495999">
        <w:rPr>
          <w:szCs w:val="18"/>
          <w:rtl/>
        </w:rPr>
        <w:t>.</w:t>
      </w:r>
    </w:p>
  </w:footnote>
  <w:footnote w:id="5">
    <w:p w:rsidR="00281887" w:rsidRPr="00495999" w:rsidRDefault="00281887" w:rsidP="00281887">
      <w:pPr>
        <w:pStyle w:val="FootnoteText"/>
        <w:spacing w:after="60" w:line="300" w:lineRule="exact"/>
        <w:ind w:left="1134"/>
        <w:jc w:val="both"/>
        <w:rPr>
          <w:rFonts w:ascii="Traditional Arabic" w:hAnsi="Traditional Arabic" w:cs="Traditional Arabic"/>
          <w:sz w:val="26"/>
          <w:szCs w:val="26"/>
          <w:rtl/>
        </w:rPr>
      </w:pPr>
      <w:r w:rsidRPr="00495999">
        <w:rPr>
          <w:rFonts w:ascii="Traditional Arabic" w:hAnsi="Traditional Arabic" w:cs="Traditional Arabic"/>
          <w:sz w:val="26"/>
          <w:szCs w:val="26"/>
          <w:rtl/>
        </w:rPr>
        <w:t>(</w:t>
      </w:r>
      <w:r w:rsidRPr="00495999">
        <w:rPr>
          <w:rFonts w:ascii="Traditional Arabic" w:hAnsi="Traditional Arabic" w:cs="Traditional Arabic"/>
          <w:sz w:val="26"/>
          <w:szCs w:val="26"/>
        </w:rPr>
        <w:t>(</w:t>
      </w:r>
      <w:r w:rsidRPr="00495999">
        <w:rPr>
          <w:rStyle w:val="FootnoteReference"/>
          <w:rFonts w:ascii="Traditional Arabic" w:hAnsi="Traditional Arabic" w:cs="Traditional Arabic"/>
          <w:sz w:val="26"/>
          <w:szCs w:val="26"/>
        </w:rPr>
        <w:footnoteRef/>
      </w:r>
      <w:r w:rsidRPr="00495999">
        <w:rPr>
          <w:rFonts w:ascii="Traditional Arabic" w:hAnsi="Traditional Arabic" w:cs="Traditional Arabic"/>
          <w:sz w:val="26"/>
          <w:szCs w:val="26"/>
          <w:rtl/>
        </w:rPr>
        <w:t xml:space="preserve"> </w:t>
      </w:r>
      <w:r w:rsidRPr="00495999">
        <w:rPr>
          <w:rFonts w:ascii="Traditional Arabic" w:hAnsi="Traditional Arabic" w:cs="Traditional Arabic"/>
          <w:sz w:val="26"/>
          <w:szCs w:val="26"/>
          <w:rtl/>
        </w:rPr>
        <w:t>مشروع وثيقة التوجيهات بشأن جرد مخزونات حامض السلفونيك البيرفلوروكتاني وما يتعلق به من مواد كيميائية مدرجة في اتفاقية استكهولم (2012)، ومشروع التوجيهات بشأن حصر الإيثرات الثنائية الفينيل المتعددة البروم المدرجة في اتفاقية استكهولم (2012)، مشروع التوجيهات بشأن أفضل التقنيات المتاحة وأفضل الممارسات البيئية لاستخدام حامض السلفونيك البيرفلوروكتاني وما يتصل به من مواد كيميائية مدرجة في اتفاقية استكهولم (2012)، مشروع توجيهات بشأن أفضل التقنيات المتاحة وأفضل الممارسات البيئية لإعادة التدوير والتخلص من نفايات المواد المحتوية على الإيثرات الثنائية الفينيل المتعددة البروم المدرجة في اتفاقية استكهولم (2012).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556C3"/>
    <w:multiLevelType w:val="multilevel"/>
    <w:tmpl w:val="5B380A66"/>
    <w:lvl w:ilvl="0">
      <w:start w:val="1"/>
      <w:numFmt w:val="decimal"/>
      <w:lvlText w:val="%1."/>
      <w:lvlJc w:val="left"/>
      <w:pPr>
        <w:tabs>
          <w:tab w:val="num" w:pos="568"/>
        </w:tabs>
        <w:ind w:left="1248" w:firstLine="0"/>
      </w:pPr>
      <w:rPr>
        <w:rFonts w:hint="default"/>
        <w:vertAlign w:val="baseline"/>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1">
    <w:nsid w:val="171113A7"/>
    <w:multiLevelType w:val="multilevel"/>
    <w:tmpl w:val="48241D10"/>
    <w:numStyleLink w:val="Normallist"/>
  </w:abstractNum>
  <w:abstractNum w:abstractNumId="2">
    <w:nsid w:val="241442DA"/>
    <w:multiLevelType w:val="hybridMultilevel"/>
    <w:tmpl w:val="ACA00756"/>
    <w:lvl w:ilvl="0" w:tplc="0B02D162">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306E1DAA"/>
    <w:multiLevelType w:val="hybridMultilevel"/>
    <w:tmpl w:val="90905886"/>
    <w:lvl w:ilvl="0" w:tplc="5DAACE86">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4">
    <w:nsid w:val="307F3DD9"/>
    <w:multiLevelType w:val="multilevel"/>
    <w:tmpl w:val="5436101C"/>
    <w:lvl w:ilvl="0">
      <w:start w:val="1"/>
      <w:numFmt w:val="decimal"/>
      <w:lvlText w:val="%1."/>
      <w:lvlJc w:val="left"/>
      <w:pPr>
        <w:tabs>
          <w:tab w:val="num" w:pos="1191"/>
        </w:tabs>
        <w:ind w:left="1871" w:firstLine="0"/>
      </w:pPr>
      <w:rPr>
        <w:rFonts w:ascii="Times New Roman" w:eastAsia="Times New Roman" w:hAnsi="Times New Roman" w:cs="Times New Roman"/>
        <w:i w:val="0"/>
      </w:rPr>
    </w:lvl>
    <w:lvl w:ilvl="1">
      <w:start w:val="1"/>
      <w:numFmt w:val="lowerLetter"/>
      <w:lvlText w:val="(%2)"/>
      <w:lvlJc w:val="left"/>
      <w:pPr>
        <w:tabs>
          <w:tab w:val="num" w:pos="1191"/>
        </w:tabs>
        <w:ind w:left="1871" w:firstLine="567"/>
      </w:pPr>
      <w:rPr>
        <w:rFonts w:hint="default"/>
      </w:rPr>
    </w:lvl>
    <w:lvl w:ilvl="2">
      <w:start w:val="1"/>
      <w:numFmt w:val="lowerRoman"/>
      <w:lvlText w:val="(%3)"/>
      <w:lvlJc w:val="left"/>
      <w:pPr>
        <w:tabs>
          <w:tab w:val="num" w:pos="1191"/>
        </w:tabs>
        <w:ind w:left="3572" w:hanging="567"/>
      </w:pPr>
      <w:rPr>
        <w:rFonts w:hint="default"/>
      </w:rPr>
    </w:lvl>
    <w:lvl w:ilvl="3">
      <w:start w:val="1"/>
      <w:numFmt w:val="lowerLetter"/>
      <w:lvlText w:val="%4."/>
      <w:lvlJc w:val="left"/>
      <w:pPr>
        <w:tabs>
          <w:tab w:val="num" w:pos="1191"/>
        </w:tabs>
        <w:ind w:left="4139" w:hanging="567"/>
      </w:pPr>
      <w:rPr>
        <w:rFonts w:hint="default"/>
      </w:rPr>
    </w:lvl>
    <w:lvl w:ilvl="4">
      <w:start w:val="1"/>
      <w:numFmt w:val="lowerLetter"/>
      <w:lvlText w:val="%5."/>
      <w:lvlJc w:val="left"/>
      <w:pPr>
        <w:tabs>
          <w:tab w:val="num" w:pos="7172"/>
        </w:tabs>
        <w:ind w:left="7172" w:hanging="360"/>
      </w:pPr>
      <w:rPr>
        <w:rFonts w:hint="default"/>
      </w:rPr>
    </w:lvl>
    <w:lvl w:ilvl="5">
      <w:start w:val="1"/>
      <w:numFmt w:val="lowerRoman"/>
      <w:lvlText w:val="%6."/>
      <w:lvlJc w:val="right"/>
      <w:pPr>
        <w:tabs>
          <w:tab w:val="num" w:pos="7892"/>
        </w:tabs>
        <w:ind w:left="7892" w:hanging="180"/>
      </w:pPr>
      <w:rPr>
        <w:rFonts w:hint="default"/>
      </w:rPr>
    </w:lvl>
    <w:lvl w:ilvl="6">
      <w:start w:val="1"/>
      <w:numFmt w:val="decimal"/>
      <w:lvlText w:val="%7."/>
      <w:lvlJc w:val="left"/>
      <w:pPr>
        <w:tabs>
          <w:tab w:val="num" w:pos="8612"/>
        </w:tabs>
        <w:ind w:left="8612" w:hanging="360"/>
      </w:pPr>
      <w:rPr>
        <w:rFonts w:hint="default"/>
      </w:rPr>
    </w:lvl>
    <w:lvl w:ilvl="7">
      <w:start w:val="1"/>
      <w:numFmt w:val="lowerLetter"/>
      <w:lvlText w:val="%8."/>
      <w:lvlJc w:val="left"/>
      <w:pPr>
        <w:tabs>
          <w:tab w:val="num" w:pos="9332"/>
        </w:tabs>
        <w:ind w:left="9332" w:hanging="360"/>
      </w:pPr>
      <w:rPr>
        <w:rFonts w:hint="default"/>
      </w:rPr>
    </w:lvl>
    <w:lvl w:ilvl="8">
      <w:start w:val="1"/>
      <w:numFmt w:val="lowerRoman"/>
      <w:lvlText w:val="%9."/>
      <w:lvlJc w:val="right"/>
      <w:pPr>
        <w:tabs>
          <w:tab w:val="num" w:pos="10052"/>
        </w:tabs>
        <w:ind w:left="10052" w:hanging="180"/>
      </w:pPr>
      <w:rPr>
        <w:rFonts w:hint="default"/>
      </w:rPr>
    </w:lvl>
  </w:abstractNum>
  <w:abstractNum w:abstractNumId="5">
    <w:nsid w:val="30FD131A"/>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6">
    <w:nsid w:val="35E37C56"/>
    <w:multiLevelType w:val="hybridMultilevel"/>
    <w:tmpl w:val="6E1ED5F8"/>
    <w:lvl w:ilvl="0" w:tplc="C9900F68">
      <w:start w:val="1"/>
      <w:numFmt w:val="decimal"/>
      <w:pStyle w:val="NormalNonumber"/>
      <w:lvlText w:val="%1."/>
      <w:lvlJc w:val="left"/>
      <w:pPr>
        <w:ind w:left="1967" w:hanging="360"/>
      </w:pPr>
      <w:rPr>
        <w:rFonts w:ascii="Times New Roman" w:hAnsi="Times New Roman" w:hint="default"/>
        <w:sz w:val="20"/>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7">
    <w:nsid w:val="483A2339"/>
    <w:multiLevelType w:val="hybridMultilevel"/>
    <w:tmpl w:val="F1B662D0"/>
    <w:lvl w:ilvl="0" w:tplc="3102673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8">
    <w:nsid w:val="4ACA6491"/>
    <w:multiLevelType w:val="hybridMultilevel"/>
    <w:tmpl w:val="EB828114"/>
    <w:lvl w:ilvl="0" w:tplc="0409000F">
      <w:start w:val="1"/>
      <w:numFmt w:val="decimal"/>
      <w:lvlText w:val="%1."/>
      <w:lvlJc w:val="left"/>
      <w:pPr>
        <w:ind w:left="2856" w:hanging="360"/>
      </w:pPr>
    </w:lvl>
    <w:lvl w:ilvl="1" w:tplc="04090019">
      <w:start w:val="1"/>
      <w:numFmt w:val="lowerLetter"/>
      <w:lvlText w:val="%2."/>
      <w:lvlJc w:val="left"/>
      <w:pPr>
        <w:ind w:left="3576" w:hanging="360"/>
      </w:pPr>
    </w:lvl>
    <w:lvl w:ilvl="2" w:tplc="0409001B" w:tentative="1">
      <w:start w:val="1"/>
      <w:numFmt w:val="lowerRoman"/>
      <w:lvlText w:val="%3."/>
      <w:lvlJc w:val="right"/>
      <w:pPr>
        <w:ind w:left="4296" w:hanging="180"/>
      </w:pPr>
    </w:lvl>
    <w:lvl w:ilvl="3" w:tplc="0409000F" w:tentative="1">
      <w:start w:val="1"/>
      <w:numFmt w:val="decimal"/>
      <w:lvlText w:val="%4."/>
      <w:lvlJc w:val="left"/>
      <w:pPr>
        <w:ind w:left="5016" w:hanging="360"/>
      </w:pPr>
    </w:lvl>
    <w:lvl w:ilvl="4" w:tplc="04090019" w:tentative="1">
      <w:start w:val="1"/>
      <w:numFmt w:val="lowerLetter"/>
      <w:lvlText w:val="%5."/>
      <w:lvlJc w:val="left"/>
      <w:pPr>
        <w:ind w:left="5736" w:hanging="360"/>
      </w:pPr>
    </w:lvl>
    <w:lvl w:ilvl="5" w:tplc="0409001B" w:tentative="1">
      <w:start w:val="1"/>
      <w:numFmt w:val="lowerRoman"/>
      <w:lvlText w:val="%6."/>
      <w:lvlJc w:val="right"/>
      <w:pPr>
        <w:ind w:left="6456" w:hanging="180"/>
      </w:pPr>
    </w:lvl>
    <w:lvl w:ilvl="6" w:tplc="0409000F" w:tentative="1">
      <w:start w:val="1"/>
      <w:numFmt w:val="decimal"/>
      <w:lvlText w:val="%7."/>
      <w:lvlJc w:val="left"/>
      <w:pPr>
        <w:ind w:left="7176" w:hanging="360"/>
      </w:pPr>
    </w:lvl>
    <w:lvl w:ilvl="7" w:tplc="04090019" w:tentative="1">
      <w:start w:val="1"/>
      <w:numFmt w:val="lowerLetter"/>
      <w:lvlText w:val="%8."/>
      <w:lvlJc w:val="left"/>
      <w:pPr>
        <w:ind w:left="7896" w:hanging="360"/>
      </w:pPr>
    </w:lvl>
    <w:lvl w:ilvl="8" w:tplc="0409001B" w:tentative="1">
      <w:start w:val="1"/>
      <w:numFmt w:val="lowerRoman"/>
      <w:lvlText w:val="%9."/>
      <w:lvlJc w:val="right"/>
      <w:pPr>
        <w:ind w:left="8616" w:hanging="180"/>
      </w:pPr>
    </w:lvl>
  </w:abstractNum>
  <w:abstractNum w:abstractNumId="9">
    <w:nsid w:val="52A66A9D"/>
    <w:multiLevelType w:val="multilevel"/>
    <w:tmpl w:val="48241D10"/>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0">
    <w:nsid w:val="56E007DC"/>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1">
    <w:nsid w:val="6D93774D"/>
    <w:multiLevelType w:val="hybridMultilevel"/>
    <w:tmpl w:val="53369346"/>
    <w:lvl w:ilvl="0" w:tplc="5DA627C0">
      <w:start w:val="1"/>
      <w:numFmt w:val="arabicAlpha"/>
      <w:lvlText w:val="(%1)"/>
      <w:lvlJc w:val="left"/>
      <w:pPr>
        <w:ind w:left="3282" w:hanging="720"/>
      </w:pPr>
      <w:rPr>
        <w:rFonts w:hint="default"/>
      </w:rPr>
    </w:lvl>
    <w:lvl w:ilvl="1" w:tplc="04090019" w:tentative="1">
      <w:start w:val="1"/>
      <w:numFmt w:val="lowerLetter"/>
      <w:lvlText w:val="%2."/>
      <w:lvlJc w:val="left"/>
      <w:pPr>
        <w:ind w:left="3642" w:hanging="360"/>
      </w:pPr>
    </w:lvl>
    <w:lvl w:ilvl="2" w:tplc="0409001B" w:tentative="1">
      <w:start w:val="1"/>
      <w:numFmt w:val="lowerRoman"/>
      <w:lvlText w:val="%3."/>
      <w:lvlJc w:val="right"/>
      <w:pPr>
        <w:ind w:left="4362" w:hanging="180"/>
      </w:pPr>
    </w:lvl>
    <w:lvl w:ilvl="3" w:tplc="0409000F" w:tentative="1">
      <w:start w:val="1"/>
      <w:numFmt w:val="decimal"/>
      <w:lvlText w:val="%4."/>
      <w:lvlJc w:val="left"/>
      <w:pPr>
        <w:ind w:left="5082" w:hanging="360"/>
      </w:pPr>
    </w:lvl>
    <w:lvl w:ilvl="4" w:tplc="04090019" w:tentative="1">
      <w:start w:val="1"/>
      <w:numFmt w:val="lowerLetter"/>
      <w:lvlText w:val="%5."/>
      <w:lvlJc w:val="left"/>
      <w:pPr>
        <w:ind w:left="5802" w:hanging="360"/>
      </w:pPr>
    </w:lvl>
    <w:lvl w:ilvl="5" w:tplc="0409001B" w:tentative="1">
      <w:start w:val="1"/>
      <w:numFmt w:val="lowerRoman"/>
      <w:lvlText w:val="%6."/>
      <w:lvlJc w:val="right"/>
      <w:pPr>
        <w:ind w:left="6522" w:hanging="180"/>
      </w:pPr>
    </w:lvl>
    <w:lvl w:ilvl="6" w:tplc="0409000F" w:tentative="1">
      <w:start w:val="1"/>
      <w:numFmt w:val="decimal"/>
      <w:lvlText w:val="%7."/>
      <w:lvlJc w:val="left"/>
      <w:pPr>
        <w:ind w:left="7242" w:hanging="360"/>
      </w:pPr>
    </w:lvl>
    <w:lvl w:ilvl="7" w:tplc="04090019" w:tentative="1">
      <w:start w:val="1"/>
      <w:numFmt w:val="lowerLetter"/>
      <w:lvlText w:val="%8."/>
      <w:lvlJc w:val="left"/>
      <w:pPr>
        <w:ind w:left="7962" w:hanging="360"/>
      </w:pPr>
    </w:lvl>
    <w:lvl w:ilvl="8" w:tplc="0409001B" w:tentative="1">
      <w:start w:val="1"/>
      <w:numFmt w:val="lowerRoman"/>
      <w:lvlText w:val="%9."/>
      <w:lvlJc w:val="right"/>
      <w:pPr>
        <w:ind w:left="8682" w:hanging="180"/>
      </w:pPr>
    </w:lvl>
  </w:abstractNum>
  <w:num w:numId="1">
    <w:abstractNumId w:val="6"/>
  </w:num>
  <w:num w:numId="2">
    <w:abstractNumId w:val="6"/>
  </w:num>
  <w:num w:numId="3">
    <w:abstractNumId w:val="2"/>
  </w:num>
  <w:num w:numId="4">
    <w:abstractNumId w:val="7"/>
  </w:num>
  <w:num w:numId="5">
    <w:abstractNumId w:val="9"/>
  </w:num>
  <w:num w:numId="6">
    <w:abstractNumId w:val="9"/>
    <w:lvlOverride w:ilvl="0">
      <w:lvl w:ilvl="0">
        <w:start w:val="1"/>
        <w:numFmt w:val="decimal"/>
        <w:lvlText w:val="%1."/>
        <w:lvlJc w:val="left"/>
        <w:pPr>
          <w:tabs>
            <w:tab w:val="num" w:pos="1134"/>
          </w:tabs>
          <w:ind w:left="1247" w:firstLine="0"/>
        </w:pPr>
        <w:rPr>
          <w:rFonts w:hint="default"/>
          <w:i w:val="0"/>
        </w:rPr>
      </w:lvl>
    </w:lvlOverride>
  </w:num>
  <w:num w:numId="7">
    <w:abstractNumId w:val="0"/>
  </w:num>
  <w:num w:numId="8">
    <w:abstractNumId w:val="10"/>
  </w:num>
  <w:num w:numId="9">
    <w:abstractNumId w:val="4"/>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footnotePr>
    <w:footnote w:id="-1"/>
    <w:footnote w:id="0"/>
  </w:footnotePr>
  <w:endnotePr>
    <w:endnote w:id="-1"/>
    <w:endnote w:id="0"/>
  </w:endnotePr>
  <w:compat/>
  <w:rsids>
    <w:rsidRoot w:val="00E3382D"/>
    <w:rsid w:val="000718B6"/>
    <w:rsid w:val="000B25F8"/>
    <w:rsid w:val="001B53BC"/>
    <w:rsid w:val="00281887"/>
    <w:rsid w:val="00327412"/>
    <w:rsid w:val="0035083F"/>
    <w:rsid w:val="003616FC"/>
    <w:rsid w:val="00430E46"/>
    <w:rsid w:val="00523046"/>
    <w:rsid w:val="00593817"/>
    <w:rsid w:val="006343E0"/>
    <w:rsid w:val="0064070F"/>
    <w:rsid w:val="006A4EEB"/>
    <w:rsid w:val="006D5129"/>
    <w:rsid w:val="0075644B"/>
    <w:rsid w:val="00827715"/>
    <w:rsid w:val="00951E19"/>
    <w:rsid w:val="009A65C1"/>
    <w:rsid w:val="009F6B9A"/>
    <w:rsid w:val="00A16B8F"/>
    <w:rsid w:val="00A27FB7"/>
    <w:rsid w:val="00A53776"/>
    <w:rsid w:val="00BB1008"/>
    <w:rsid w:val="00BF57B2"/>
    <w:rsid w:val="00C91F17"/>
    <w:rsid w:val="00D07BEE"/>
    <w:rsid w:val="00E3382D"/>
    <w:rsid w:val="00F547EB"/>
    <w:rsid w:val="00FB59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styleId="Heading2">
    <w:name w:val="heading 2"/>
    <w:basedOn w:val="Normal"/>
    <w:next w:val="Normal"/>
    <w:link w:val="Heading2Char"/>
    <w:uiPriority w:val="9"/>
    <w:semiHidden/>
    <w:unhideWhenUsed/>
    <w:qFormat/>
    <w:rsid w:val="000B25F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customStyle="1" w:styleId="NormalNonumber">
    <w:name w:val="Normal_No_number"/>
    <w:basedOn w:val="Normal-pool"/>
    <w:rsid w:val="00E3382D"/>
    <w:pPr>
      <w:numPr>
        <w:numId w:val="1"/>
      </w:numPr>
      <w:spacing w:after="120"/>
    </w:pPr>
  </w:style>
  <w:style w:type="character" w:customStyle="1" w:styleId="Normal-poolChar">
    <w:name w:val="Normal-pool Char"/>
    <w:link w:val="Normal-pool"/>
    <w:locked/>
    <w:rsid w:val="00E3382D"/>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B25F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Car"/>
    <w:basedOn w:val="Normal-pool"/>
    <w:link w:val="FootnoteTextChar"/>
    <w:rsid w:val="000B25F8"/>
    <w:pPr>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0B25F8"/>
    <w:rPr>
      <w:rFonts w:ascii="Times New Roman" w:eastAsia="Times New Roman" w:hAnsi="Times New Roman" w:cs="Times New Roman"/>
      <w:sz w:val="18"/>
      <w:szCs w:val="20"/>
      <w:lang w:val="en-GB"/>
    </w:rPr>
  </w:style>
  <w:style w:type="paragraph" w:customStyle="1" w:styleId="ZZAnxtitle">
    <w:name w:val="ZZ_Anx_title"/>
    <w:basedOn w:val="Normal-pool"/>
    <w:link w:val="ZZAnxtitleChar"/>
    <w:rsid w:val="000B25F8"/>
    <w:pPr>
      <w:spacing w:before="360" w:after="120"/>
      <w:ind w:left="1247"/>
    </w:pPr>
    <w:rPr>
      <w:b/>
      <w:bCs/>
      <w:sz w:val="28"/>
      <w:szCs w:val="26"/>
    </w:rPr>
  </w:style>
  <w:style w:type="character" w:customStyle="1" w:styleId="ZZAnxtitleChar">
    <w:name w:val="ZZ_Anx_title Char"/>
    <w:link w:val="ZZAnxtitle"/>
    <w:rsid w:val="000B25F8"/>
    <w:rPr>
      <w:rFonts w:ascii="Times New Roman" w:eastAsia="Times New Roman" w:hAnsi="Times New Roman" w:cs="Times New Roman"/>
      <w:b/>
      <w:bCs/>
      <w:sz w:val="28"/>
      <w:szCs w:val="26"/>
      <w:lang w:val="en-GB"/>
    </w:rPr>
  </w:style>
  <w:style w:type="paragraph" w:customStyle="1" w:styleId="Subtitle">
    <w:name w:val="Sub title"/>
    <w:basedOn w:val="Heading2"/>
    <w:rsid w:val="000B25F8"/>
    <w:pPr>
      <w:keepLines w:val="0"/>
      <w:tabs>
        <w:tab w:val="clear" w:pos="1247"/>
        <w:tab w:val="clear" w:pos="1814"/>
        <w:tab w:val="clear" w:pos="2381"/>
        <w:tab w:val="clear" w:pos="2948"/>
        <w:tab w:val="clear" w:pos="3515"/>
      </w:tabs>
      <w:spacing w:before="0"/>
      <w:ind w:left="1247"/>
    </w:pPr>
    <w:rPr>
      <w:rFonts w:ascii="Times New Roman" w:eastAsia="Times New Roman" w:hAnsi="Times New Roman" w:cs="Times New Roman"/>
      <w:bCs w:val="0"/>
      <w:color w:val="auto"/>
      <w:sz w:val="24"/>
      <w:szCs w:val="24"/>
    </w:rPr>
  </w:style>
  <w:style w:type="character" w:customStyle="1" w:styleId="Heading2Char">
    <w:name w:val="Heading 2 Char"/>
    <w:basedOn w:val="DefaultParagraphFont"/>
    <w:link w:val="Heading2"/>
    <w:uiPriority w:val="9"/>
    <w:semiHidden/>
    <w:rsid w:val="000B25F8"/>
    <w:rPr>
      <w:rFonts w:asciiTheme="majorHAnsi" w:eastAsiaTheme="majorEastAsia" w:hAnsiTheme="majorHAnsi" w:cstheme="majorBidi"/>
      <w:b/>
      <w:bCs/>
      <w:color w:val="4F81BD" w:themeColor="accent1"/>
      <w:sz w:val="26"/>
      <w:szCs w:val="26"/>
      <w:lang w:val="en-GB"/>
    </w:rPr>
  </w:style>
  <w:style w:type="character" w:customStyle="1" w:styleId="NormalnumberChar">
    <w:name w:val="Normal_number Char"/>
    <w:link w:val="Normalnumber"/>
    <w:rsid w:val="00A16B8F"/>
    <w:rPr>
      <w:lang w:val="en-GB"/>
    </w:rPr>
  </w:style>
  <w:style w:type="numbering" w:customStyle="1" w:styleId="Normallist">
    <w:name w:val="Normal_list"/>
    <w:basedOn w:val="NoList"/>
    <w:rsid w:val="00A16B8F"/>
    <w:pPr>
      <w:numPr>
        <w:numId w:val="5"/>
      </w:numPr>
    </w:pPr>
  </w:style>
  <w:style w:type="paragraph" w:customStyle="1" w:styleId="Normalnumber">
    <w:name w:val="Normal_number"/>
    <w:basedOn w:val="Normal-pool"/>
    <w:link w:val="NormalnumberChar"/>
    <w:rsid w:val="00A16B8F"/>
    <w:pPr>
      <w:spacing w:after="120"/>
    </w:pPr>
    <w:rPr>
      <w:rFonts w:asciiTheme="minorHAnsi" w:eastAsiaTheme="minorHAnsi" w:hAnsiTheme="minorHAnsi" w:cstheme="minorBidi"/>
      <w:sz w:val="22"/>
      <w:szCs w:val="22"/>
    </w:rPr>
  </w:style>
  <w:style w:type="paragraph" w:customStyle="1" w:styleId="StyleNormalnumberItalicBlack">
    <w:name w:val="Style Normal_number + Italic Black"/>
    <w:basedOn w:val="Normalnumber"/>
    <w:link w:val="StyleNormalnumberItalicBlackChar"/>
    <w:rsid w:val="00BB1008"/>
    <w:pPr>
      <w:tabs>
        <w:tab w:val="clear" w:pos="1247"/>
        <w:tab w:val="clear" w:pos="1814"/>
        <w:tab w:val="clear" w:pos="2381"/>
        <w:tab w:val="clear" w:pos="2948"/>
        <w:tab w:val="clear" w:pos="3515"/>
        <w:tab w:val="left" w:pos="624"/>
        <w:tab w:val="num" w:pos="1758"/>
      </w:tabs>
      <w:ind w:left="1871"/>
    </w:pPr>
    <w:rPr>
      <w:rFonts w:ascii="Times New Roman" w:eastAsia="SimSun" w:hAnsi="Times New Roman" w:cs="Times New Roman"/>
      <w:iCs/>
      <w:color w:val="000000"/>
      <w:sz w:val="20"/>
      <w:szCs w:val="20"/>
    </w:rPr>
  </w:style>
  <w:style w:type="character" w:customStyle="1" w:styleId="StyleNormalnumberItalicBlackChar">
    <w:name w:val="Style Normal_number + Italic Black Char"/>
    <w:link w:val="StyleNormalnumberItalicBlack"/>
    <w:rsid w:val="00BB1008"/>
    <w:rPr>
      <w:rFonts w:ascii="Times New Roman" w:eastAsia="SimSun" w:hAnsi="Times New Roman" w:cs="Times New Roman"/>
      <w:iCs/>
      <w:color w:val="000000"/>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741</Words>
  <Characters>4131</Characters>
  <Application>Microsoft Office Word</Application>
  <DocSecurity>0</DocSecurity>
  <Lines>172</Lines>
  <Paragraphs>55</Paragraphs>
  <ScaleCrop>false</ScaleCrop>
  <Company>BRS</Company>
  <LinksUpToDate>false</LinksUpToDate>
  <CharactersWithSpaces>4817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2015-09-04T14:45:00Z</dcterms:created>
  <dcterms:modified xsi:type="dcterms:W3CDTF">2015-09-04T14:45:00Z</dcterms:modified>
</cp:coreProperties>
</file>