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046" w:rsidRPr="00DB3B6E" w:rsidRDefault="00523046" w:rsidP="00523046">
      <w:pPr>
        <w:spacing w:before="240" w:after="120"/>
        <w:ind w:left="1247"/>
        <w:rPr>
          <w:b/>
          <w:sz w:val="28"/>
          <w:szCs w:val="28"/>
          <w:lang w:val="en-US"/>
        </w:rPr>
      </w:pPr>
      <w:r w:rsidRPr="00DB3B6E">
        <w:rPr>
          <w:b/>
          <w:sz w:val="28"/>
          <w:szCs w:val="28"/>
        </w:rPr>
        <w:t>OEWG-</w:t>
      </w:r>
      <w:r>
        <w:rPr>
          <w:b/>
          <w:sz w:val="28"/>
          <w:szCs w:val="28"/>
        </w:rPr>
        <w:t>9</w:t>
      </w:r>
      <w:r w:rsidRPr="00DB3B6E">
        <w:rPr>
          <w:b/>
          <w:sz w:val="28"/>
          <w:szCs w:val="28"/>
        </w:rPr>
        <w:t>/</w:t>
      </w:r>
      <w:r w:rsidRPr="00DB3B6E">
        <w:rPr>
          <w:b/>
          <w:sz w:val="28"/>
          <w:szCs w:val="28"/>
          <w:lang w:eastAsia="ja-JP"/>
        </w:rPr>
        <w:t>3</w:t>
      </w:r>
      <w:r w:rsidRPr="00DB3B6E">
        <w:rPr>
          <w:b/>
          <w:sz w:val="28"/>
          <w:szCs w:val="28"/>
          <w:lang w:val="en-US"/>
        </w:rPr>
        <w:t xml:space="preserve">: </w:t>
      </w:r>
      <w:r w:rsidRPr="0004154A">
        <w:rPr>
          <w:b/>
          <w:sz w:val="28"/>
          <w:szCs w:val="28"/>
          <w:lang w:val="en-US"/>
        </w:rPr>
        <w:t>Technical guidelines for the environmentally sound management of wastes consisting of, containing or contaminated with persistent organic pollutants</w:t>
      </w:r>
    </w:p>
    <w:p w:rsidR="00523046" w:rsidRDefault="00523046" w:rsidP="00523046">
      <w:pPr>
        <w:spacing w:after="120"/>
        <w:ind w:left="1248" w:firstLine="624"/>
        <w:rPr>
          <w:i/>
        </w:rPr>
      </w:pPr>
      <w:r>
        <w:rPr>
          <w:i/>
        </w:rPr>
        <w:t>The Open-ended Working Group</w:t>
      </w:r>
    </w:p>
    <w:p w:rsidR="00523046" w:rsidRPr="00A641B4" w:rsidRDefault="00523046" w:rsidP="00523046">
      <w:pPr>
        <w:pStyle w:val="Normalnumber"/>
        <w:numPr>
          <w:ilvl w:val="0"/>
          <w:numId w:val="7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left="1260" w:firstLine="630"/>
      </w:pPr>
      <w:r w:rsidRPr="00A641B4">
        <w:rPr>
          <w:i/>
        </w:rPr>
        <w:t xml:space="preserve">Welcomes </w:t>
      </w:r>
      <w:r w:rsidRPr="00A641B4">
        <w:t xml:space="preserve">with appreciation the contribution by Canada in chairing the small </w:t>
      </w:r>
      <w:proofErr w:type="spellStart"/>
      <w:r w:rsidRPr="00A641B4">
        <w:t>intersessional</w:t>
      </w:r>
      <w:proofErr w:type="spellEnd"/>
      <w:r w:rsidRPr="00A641B4">
        <w:t xml:space="preserve"> working group and expresses its appreciation to the lead countries Canada, China and Japan, lead organizations </w:t>
      </w:r>
      <w:r>
        <w:t xml:space="preserve">the </w:t>
      </w:r>
      <w:r w:rsidRPr="00A641B4">
        <w:t>U</w:t>
      </w:r>
      <w:r>
        <w:t xml:space="preserve">nited </w:t>
      </w:r>
      <w:r w:rsidRPr="00A641B4">
        <w:t>N</w:t>
      </w:r>
      <w:r>
        <w:t xml:space="preserve">ations </w:t>
      </w:r>
      <w:r w:rsidRPr="00A641B4">
        <w:t>E</w:t>
      </w:r>
      <w:r>
        <w:t xml:space="preserve">nvironment </w:t>
      </w:r>
      <w:r w:rsidRPr="00A641B4">
        <w:t>P</w:t>
      </w:r>
      <w:r>
        <w:t>rogramme</w:t>
      </w:r>
      <w:r w:rsidRPr="00A641B4">
        <w:t xml:space="preserve"> and </w:t>
      </w:r>
      <w:r>
        <w:t xml:space="preserve">the </w:t>
      </w:r>
      <w:r w:rsidRPr="00A641B4">
        <w:t>F</w:t>
      </w:r>
      <w:r>
        <w:t xml:space="preserve">ood and </w:t>
      </w:r>
      <w:r w:rsidRPr="00A641B4">
        <w:t>A</w:t>
      </w:r>
      <w:r>
        <w:t xml:space="preserve">griculture </w:t>
      </w:r>
      <w:r w:rsidRPr="00A641B4">
        <w:t>O</w:t>
      </w:r>
      <w:r>
        <w:t>rganization of the United Nations</w:t>
      </w:r>
      <w:r w:rsidRPr="00A641B4">
        <w:t xml:space="preserve"> and the </w:t>
      </w:r>
      <w:r>
        <w:t>s</w:t>
      </w:r>
      <w:r w:rsidRPr="00A641B4">
        <w:t xml:space="preserve">mall </w:t>
      </w:r>
      <w:proofErr w:type="spellStart"/>
      <w:r w:rsidRPr="00A641B4">
        <w:t>intersessional</w:t>
      </w:r>
      <w:proofErr w:type="spellEnd"/>
      <w:r w:rsidRPr="00A641B4">
        <w:t xml:space="preserve"> working group for their contributions to the tasks </w:t>
      </w:r>
      <w:r>
        <w:t>pertaining to</w:t>
      </w:r>
      <w:r w:rsidRPr="00A641B4">
        <w:t xml:space="preserve"> </w:t>
      </w:r>
      <w:r>
        <w:t>technical guidelines for the environmentally sound management of persistent organic pollutants</w:t>
      </w:r>
      <w:r w:rsidRPr="00A641B4">
        <w:t>;</w:t>
      </w:r>
    </w:p>
    <w:p w:rsidR="00523046" w:rsidRPr="00A641B4" w:rsidRDefault="00523046" w:rsidP="00523046">
      <w:pPr>
        <w:pStyle w:val="Normalnumber"/>
        <w:numPr>
          <w:ilvl w:val="0"/>
          <w:numId w:val="7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firstLine="624"/>
        <w:rPr>
          <w:szCs w:val="24"/>
          <w:u w:val="single"/>
          <w:vertAlign w:val="superscript"/>
        </w:rPr>
      </w:pPr>
      <w:r w:rsidRPr="00A641B4">
        <w:rPr>
          <w:i/>
          <w:iCs/>
        </w:rPr>
        <w:t xml:space="preserve">Takes note </w:t>
      </w:r>
      <w:r w:rsidRPr="00A641B4">
        <w:rPr>
          <w:iCs/>
        </w:rPr>
        <w:t>of the draft technical guidelines for the environmentally sound management of wastes consisting of, containing or contaminated with persistent organic pollutants prepared by the lead countries and lead organizations</w:t>
      </w:r>
      <w:r w:rsidRPr="00A641B4">
        <w:t>;</w:t>
      </w:r>
      <w:r w:rsidRPr="00A641B4">
        <w:rPr>
          <w:szCs w:val="24"/>
          <w:vertAlign w:val="superscript"/>
        </w:rPr>
        <w:footnoteReference w:id="1"/>
      </w:r>
    </w:p>
    <w:p w:rsidR="00523046" w:rsidRPr="00A641B4" w:rsidRDefault="00523046" w:rsidP="00523046">
      <w:pPr>
        <w:pStyle w:val="Normalnumber"/>
        <w:numPr>
          <w:ilvl w:val="0"/>
          <w:numId w:val="7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firstLine="624"/>
      </w:pPr>
      <w:r w:rsidRPr="00A641B4">
        <w:rPr>
          <w:i/>
        </w:rPr>
        <w:t>Acknowledges</w:t>
      </w:r>
      <w:r w:rsidRPr="00A641B4">
        <w:t xml:space="preserve"> the supporting document for the development of section III of the general technical guidelines for the environmentally sound management of wastes consisting of, containing or contaminated with persistent organic pollutants</w:t>
      </w:r>
      <w:r w:rsidRPr="00A641B4">
        <w:rPr>
          <w:rStyle w:val="FootnoteReference"/>
        </w:rPr>
        <w:footnoteReference w:id="2"/>
      </w:r>
      <w:r w:rsidRPr="00A641B4">
        <w:t xml:space="preserve"> and takes note of the information provided at the ninth meeting of the Open-ended Working Group;</w:t>
      </w:r>
      <w:r w:rsidRPr="00A641B4">
        <w:rPr>
          <w:rStyle w:val="FootnoteReference"/>
        </w:rPr>
        <w:footnoteReference w:id="3"/>
      </w:r>
    </w:p>
    <w:p w:rsidR="00523046" w:rsidRPr="00A641B4" w:rsidRDefault="00523046" w:rsidP="00523046">
      <w:pPr>
        <w:pStyle w:val="Normalnumber"/>
        <w:numPr>
          <w:ilvl w:val="0"/>
          <w:numId w:val="7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firstLine="624"/>
      </w:pPr>
      <w:r w:rsidRPr="00A641B4">
        <w:rPr>
          <w:i/>
        </w:rPr>
        <w:t>Takes note</w:t>
      </w:r>
      <w:r w:rsidRPr="00A641B4">
        <w:t xml:space="preserve"> of the </w:t>
      </w:r>
      <w:r>
        <w:t xml:space="preserve">following </w:t>
      </w:r>
      <w:r w:rsidRPr="00A641B4">
        <w:t xml:space="preserve">concentration levels to define low persistent organic pollutant </w:t>
      </w:r>
      <w:r w:rsidRPr="00AD112C">
        <w:t>content indicated at the ninth meeting of the Open-ended Working Group and invites parties and others to provide comments</w:t>
      </w:r>
      <w:r w:rsidRPr="00A641B4">
        <w:t xml:space="preserve"> </w:t>
      </w:r>
      <w:r>
        <w:t xml:space="preserve">on the levels </w:t>
      </w:r>
      <w:r w:rsidRPr="00A641B4">
        <w:t>to the Secretariat by 31 October 2014</w:t>
      </w:r>
      <w:r>
        <w:t>:</w:t>
      </w:r>
    </w:p>
    <w:p w:rsidR="00523046" w:rsidRPr="00E617CD" w:rsidRDefault="00523046" w:rsidP="00523046">
      <w:pPr>
        <w:pStyle w:val="Normalnumber"/>
        <w:numPr>
          <w:ilvl w:val="1"/>
          <w:numId w:val="7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  <w:proofErr w:type="spellStart"/>
      <w:r w:rsidRPr="00E617CD">
        <w:t>Endosulfan</w:t>
      </w:r>
      <w:proofErr w:type="spellEnd"/>
      <w:r w:rsidRPr="00E617CD">
        <w:t>: 50 mg/kg;</w:t>
      </w:r>
    </w:p>
    <w:p w:rsidR="00523046" w:rsidRPr="00E617CD" w:rsidRDefault="00523046" w:rsidP="00523046">
      <w:pPr>
        <w:pStyle w:val="Normalnumber"/>
        <w:numPr>
          <w:ilvl w:val="1"/>
          <w:numId w:val="7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  <w:proofErr w:type="spellStart"/>
      <w:r w:rsidRPr="00E617CD">
        <w:t>Pentachlorobenzene</w:t>
      </w:r>
      <w:proofErr w:type="spellEnd"/>
      <w:r w:rsidRPr="00E617CD">
        <w:t>: 50 mg/kg;</w:t>
      </w:r>
    </w:p>
    <w:p w:rsidR="00523046" w:rsidRPr="00E617CD" w:rsidRDefault="00523046" w:rsidP="00523046">
      <w:pPr>
        <w:pStyle w:val="Normalnumber"/>
        <w:numPr>
          <w:ilvl w:val="1"/>
          <w:numId w:val="7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  <w:proofErr w:type="spellStart"/>
      <w:r w:rsidRPr="00E617CD">
        <w:t>Hexabromobiphenyl</w:t>
      </w:r>
      <w:proofErr w:type="spellEnd"/>
      <w:r w:rsidRPr="00E617CD">
        <w:t>: 50 mg/kg;</w:t>
      </w:r>
    </w:p>
    <w:p w:rsidR="00523046" w:rsidRPr="00E617CD" w:rsidRDefault="00523046" w:rsidP="00523046">
      <w:pPr>
        <w:pStyle w:val="Normalnumber"/>
        <w:numPr>
          <w:ilvl w:val="1"/>
          <w:numId w:val="7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  <w:proofErr w:type="spellStart"/>
      <w:r w:rsidRPr="00E617CD">
        <w:t>Hexabromodiphenyl</w:t>
      </w:r>
      <w:proofErr w:type="spellEnd"/>
      <w:r w:rsidRPr="00E617CD">
        <w:t xml:space="preserve"> ether</w:t>
      </w:r>
      <w:r>
        <w:t xml:space="preserve"> and</w:t>
      </w:r>
      <w:r w:rsidRPr="00E617CD">
        <w:t xml:space="preserve"> </w:t>
      </w:r>
      <w:proofErr w:type="spellStart"/>
      <w:r w:rsidRPr="00E617CD">
        <w:t>heptabromodiphenyl</w:t>
      </w:r>
      <w:proofErr w:type="spellEnd"/>
      <w:r w:rsidRPr="00E617CD">
        <w:t xml:space="preserve"> ether</w:t>
      </w:r>
      <w:r>
        <w:t xml:space="preserve"> and</w:t>
      </w:r>
      <w:r w:rsidRPr="00E617CD">
        <w:t xml:space="preserve"> </w:t>
      </w:r>
      <w:proofErr w:type="spellStart"/>
      <w:r w:rsidRPr="00E617CD">
        <w:t>tetrabromodiphenyl</w:t>
      </w:r>
      <w:proofErr w:type="spellEnd"/>
      <w:r w:rsidRPr="00E617CD">
        <w:t xml:space="preserve"> ether and </w:t>
      </w:r>
      <w:proofErr w:type="spellStart"/>
      <w:r w:rsidRPr="00E617CD">
        <w:t>pentabromodiphenyl</w:t>
      </w:r>
      <w:proofErr w:type="spellEnd"/>
      <w:r w:rsidRPr="00E617CD">
        <w:t xml:space="preserve"> ether: 1000 mg/kg as </w:t>
      </w:r>
      <w:r>
        <w:t>a sum</w:t>
      </w:r>
      <w:r w:rsidRPr="00E617CD">
        <w:t>;</w:t>
      </w:r>
    </w:p>
    <w:p w:rsidR="00523046" w:rsidRPr="00E617CD" w:rsidRDefault="00523046" w:rsidP="00523046">
      <w:pPr>
        <w:pStyle w:val="Normalnumber"/>
        <w:numPr>
          <w:ilvl w:val="1"/>
          <w:numId w:val="7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  <w:proofErr w:type="spellStart"/>
      <w:r>
        <w:t>Perfluorooctane</w:t>
      </w:r>
      <w:proofErr w:type="spellEnd"/>
      <w:r>
        <w:t xml:space="preserve"> </w:t>
      </w:r>
      <w:proofErr w:type="spellStart"/>
      <w:r>
        <w:t>sul</w:t>
      </w:r>
      <w:r w:rsidRPr="00E617CD">
        <w:t>fonic</w:t>
      </w:r>
      <w:proofErr w:type="spellEnd"/>
      <w:r w:rsidRPr="00E617CD">
        <w:t xml:space="preserve"> acid, its salts and </w:t>
      </w:r>
      <w:proofErr w:type="spellStart"/>
      <w:r w:rsidRPr="00E617CD">
        <w:t>perfluorooctane</w:t>
      </w:r>
      <w:proofErr w:type="spellEnd"/>
      <w:r w:rsidRPr="00E617CD">
        <w:t xml:space="preserve"> </w:t>
      </w:r>
      <w:proofErr w:type="spellStart"/>
      <w:r w:rsidRPr="00E617CD">
        <w:t>sulfonyl</w:t>
      </w:r>
      <w:proofErr w:type="spellEnd"/>
      <w:r w:rsidRPr="00E617CD">
        <w:t xml:space="preserve"> fluoride: 50</w:t>
      </w:r>
      <w:r>
        <w:t> </w:t>
      </w:r>
      <w:r w:rsidRPr="00E617CD">
        <w:t>mg/kg;</w:t>
      </w:r>
    </w:p>
    <w:p w:rsidR="00523046" w:rsidRPr="00E617CD" w:rsidRDefault="00523046" w:rsidP="00523046">
      <w:pPr>
        <w:pStyle w:val="Normalnumber"/>
        <w:numPr>
          <w:ilvl w:val="1"/>
          <w:numId w:val="7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  <w:proofErr w:type="spellStart"/>
      <w:r w:rsidRPr="00E617CD">
        <w:t>Hexabromocyclododecane</w:t>
      </w:r>
      <w:proofErr w:type="spellEnd"/>
      <w:r w:rsidRPr="00E617CD">
        <w:t>: 100 mg/kg and 1000 mg/kg;</w:t>
      </w:r>
    </w:p>
    <w:p w:rsidR="00523046" w:rsidRPr="00A641B4" w:rsidRDefault="00523046" w:rsidP="00523046">
      <w:pPr>
        <w:pStyle w:val="Normalnumber"/>
        <w:numPr>
          <w:ilvl w:val="0"/>
          <w:numId w:val="7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firstLine="624"/>
        <w:rPr>
          <w:szCs w:val="24"/>
        </w:rPr>
      </w:pPr>
      <w:r w:rsidRPr="00A641B4">
        <w:rPr>
          <w:i/>
          <w:szCs w:val="24"/>
        </w:rPr>
        <w:t>Invites</w:t>
      </w:r>
      <w:r w:rsidRPr="00A641B4">
        <w:rPr>
          <w:szCs w:val="24"/>
        </w:rPr>
        <w:t xml:space="preserve"> the lead countries and lead organizations to consider the comments received </w:t>
      </w:r>
      <w:r>
        <w:rPr>
          <w:szCs w:val="24"/>
        </w:rPr>
        <w:t>pursuant</w:t>
      </w:r>
      <w:r w:rsidRPr="00A641B4">
        <w:rPr>
          <w:szCs w:val="24"/>
        </w:rPr>
        <w:t xml:space="preserve"> to paragraph </w:t>
      </w:r>
      <w:r>
        <w:rPr>
          <w:szCs w:val="24"/>
        </w:rPr>
        <w:t>4</w:t>
      </w:r>
      <w:r w:rsidRPr="00A641B4">
        <w:rPr>
          <w:szCs w:val="24"/>
        </w:rPr>
        <w:t xml:space="preserve"> above and the comments provided at the ninth meeting of the Open-ended Working Group </w:t>
      </w:r>
      <w:r>
        <w:rPr>
          <w:szCs w:val="24"/>
        </w:rPr>
        <w:t xml:space="preserve">and </w:t>
      </w:r>
      <w:r w:rsidRPr="00A641B4">
        <w:rPr>
          <w:szCs w:val="24"/>
        </w:rPr>
        <w:t xml:space="preserve">to further revise the </w:t>
      </w:r>
      <w:r>
        <w:rPr>
          <w:szCs w:val="24"/>
        </w:rPr>
        <w:t xml:space="preserve">draft </w:t>
      </w:r>
      <w:r w:rsidRPr="00A641B4">
        <w:rPr>
          <w:szCs w:val="24"/>
        </w:rPr>
        <w:t xml:space="preserve">guidelines </w:t>
      </w:r>
      <w:r>
        <w:rPr>
          <w:szCs w:val="24"/>
        </w:rPr>
        <w:t>referred to in paragraph 2 above</w:t>
      </w:r>
      <w:r w:rsidRPr="00A641B4">
        <w:rPr>
          <w:szCs w:val="24"/>
        </w:rPr>
        <w:t xml:space="preserve"> by 27</w:t>
      </w:r>
      <w:r>
        <w:rPr>
          <w:szCs w:val="24"/>
        </w:rPr>
        <w:t> </w:t>
      </w:r>
      <w:r w:rsidRPr="00A641B4">
        <w:rPr>
          <w:szCs w:val="24"/>
        </w:rPr>
        <w:t xml:space="preserve">November 2014 for publication on the website of the </w:t>
      </w:r>
      <w:r>
        <w:rPr>
          <w:szCs w:val="24"/>
        </w:rPr>
        <w:t xml:space="preserve">Basel Convention on the </w:t>
      </w:r>
      <w:proofErr w:type="spellStart"/>
      <w:r>
        <w:rPr>
          <w:szCs w:val="24"/>
        </w:rPr>
        <w:t>Transboundary</w:t>
      </w:r>
      <w:proofErr w:type="spellEnd"/>
      <w:r>
        <w:rPr>
          <w:szCs w:val="24"/>
        </w:rPr>
        <w:t xml:space="preserve"> Movement of Hazardous Wastes and their Disposal </w:t>
      </w:r>
      <w:r w:rsidRPr="00A641B4">
        <w:rPr>
          <w:szCs w:val="24"/>
        </w:rPr>
        <w:t xml:space="preserve">and requests the Secretariat to transmit the </w:t>
      </w:r>
      <w:r>
        <w:rPr>
          <w:szCs w:val="24"/>
        </w:rPr>
        <w:t xml:space="preserve">revised </w:t>
      </w:r>
      <w:r w:rsidRPr="00A641B4">
        <w:rPr>
          <w:szCs w:val="24"/>
        </w:rPr>
        <w:t xml:space="preserve">drafts for translation </w:t>
      </w:r>
      <w:r>
        <w:rPr>
          <w:szCs w:val="24"/>
        </w:rPr>
        <w:t xml:space="preserve">from English </w:t>
      </w:r>
      <w:r w:rsidRPr="00A641B4">
        <w:rPr>
          <w:szCs w:val="24"/>
        </w:rPr>
        <w:t>in</w:t>
      </w:r>
      <w:r>
        <w:rPr>
          <w:szCs w:val="24"/>
        </w:rPr>
        <w:t>to</w:t>
      </w:r>
      <w:r w:rsidRPr="00A641B4">
        <w:rPr>
          <w:szCs w:val="24"/>
        </w:rPr>
        <w:t xml:space="preserve"> the </w:t>
      </w:r>
      <w:r>
        <w:rPr>
          <w:szCs w:val="24"/>
        </w:rPr>
        <w:lastRenderedPageBreak/>
        <w:t>five other</w:t>
      </w:r>
      <w:r w:rsidRPr="00A641B4">
        <w:rPr>
          <w:szCs w:val="24"/>
        </w:rPr>
        <w:t xml:space="preserve"> official languages of the United</w:t>
      </w:r>
      <w:r>
        <w:rPr>
          <w:szCs w:val="24"/>
        </w:rPr>
        <w:t> </w:t>
      </w:r>
      <w:r w:rsidRPr="00A641B4">
        <w:rPr>
          <w:szCs w:val="24"/>
        </w:rPr>
        <w:t xml:space="preserve">Nations for </w:t>
      </w:r>
      <w:r>
        <w:rPr>
          <w:szCs w:val="24"/>
        </w:rPr>
        <w:t>consideration by</w:t>
      </w:r>
      <w:r w:rsidRPr="00A641B4">
        <w:rPr>
          <w:szCs w:val="24"/>
        </w:rPr>
        <w:t xml:space="preserve"> the Conference of the Parties</w:t>
      </w:r>
      <w:r>
        <w:rPr>
          <w:szCs w:val="24"/>
        </w:rPr>
        <w:t xml:space="preserve"> at its twelfth meeting</w:t>
      </w:r>
      <w:r w:rsidRPr="00A641B4">
        <w:rPr>
          <w:szCs w:val="24"/>
        </w:rPr>
        <w:t>;</w:t>
      </w:r>
    </w:p>
    <w:p w:rsidR="00523046" w:rsidRPr="00D57E3B" w:rsidRDefault="00523046" w:rsidP="00523046">
      <w:pPr>
        <w:pStyle w:val="Normalnumber"/>
        <w:numPr>
          <w:ilvl w:val="0"/>
          <w:numId w:val="7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firstLine="642"/>
        <w:rPr>
          <w:szCs w:val="24"/>
        </w:rPr>
      </w:pPr>
      <w:r w:rsidRPr="00541CE1">
        <w:rPr>
          <w:i/>
          <w:szCs w:val="24"/>
        </w:rPr>
        <w:t>Invites</w:t>
      </w:r>
      <w:r w:rsidRPr="00541CE1">
        <w:rPr>
          <w:szCs w:val="24"/>
        </w:rPr>
        <w:t xml:space="preserve"> the Food and Agriculture Organization of the United Nations to </w:t>
      </w:r>
      <w:r w:rsidRPr="00F767DD">
        <w:rPr>
          <w:szCs w:val="24"/>
        </w:rPr>
        <w:t xml:space="preserve">prepare </w:t>
      </w:r>
      <w:r w:rsidRPr="00F767DD">
        <w:t>by 27</w:t>
      </w:r>
      <w:r>
        <w:t> </w:t>
      </w:r>
      <w:r w:rsidRPr="00F767DD">
        <w:t xml:space="preserve">November 2014 </w:t>
      </w:r>
      <w:r w:rsidRPr="00F767DD">
        <w:rPr>
          <w:szCs w:val="24"/>
        </w:rPr>
        <w:t xml:space="preserve">updated draft </w:t>
      </w:r>
      <w:r w:rsidRPr="00B22B0F">
        <w:rPr>
          <w:szCs w:val="24"/>
        </w:rPr>
        <w:t xml:space="preserve">technical guidelines on the environmentally sound management of wastes consisting of, containing or contaminated with pesticides, taking into account the comments </w:t>
      </w:r>
      <w:r w:rsidRPr="00B22B0F">
        <w:t>previously received from parties and others</w:t>
      </w:r>
      <w:r>
        <w:t xml:space="preserve">, </w:t>
      </w:r>
      <w:r w:rsidRPr="00B22B0F">
        <w:rPr>
          <w:szCs w:val="24"/>
        </w:rPr>
        <w:t>for publication on the website of the Basel Convention and requests the Secretariat to transmit the revised draft for translation</w:t>
      </w:r>
      <w:r w:rsidRPr="00541CE1">
        <w:rPr>
          <w:szCs w:val="24"/>
        </w:rPr>
        <w:t xml:space="preserve"> </w:t>
      </w:r>
      <w:r>
        <w:rPr>
          <w:szCs w:val="24"/>
        </w:rPr>
        <w:t xml:space="preserve">from English </w:t>
      </w:r>
      <w:r w:rsidRPr="00541CE1">
        <w:rPr>
          <w:szCs w:val="24"/>
        </w:rPr>
        <w:t xml:space="preserve">into the </w:t>
      </w:r>
      <w:r>
        <w:rPr>
          <w:szCs w:val="24"/>
        </w:rPr>
        <w:t>five other</w:t>
      </w:r>
      <w:r w:rsidRPr="00541CE1">
        <w:rPr>
          <w:szCs w:val="24"/>
        </w:rPr>
        <w:t xml:space="preserve"> o</w:t>
      </w:r>
      <w:r>
        <w:rPr>
          <w:szCs w:val="24"/>
        </w:rPr>
        <w:t>fficial languages of the United </w:t>
      </w:r>
      <w:r w:rsidRPr="00541CE1">
        <w:rPr>
          <w:szCs w:val="24"/>
        </w:rPr>
        <w:t xml:space="preserve">Nations for </w:t>
      </w:r>
      <w:r>
        <w:rPr>
          <w:szCs w:val="24"/>
        </w:rPr>
        <w:t xml:space="preserve">consideration by </w:t>
      </w:r>
      <w:r w:rsidRPr="00541CE1">
        <w:rPr>
          <w:szCs w:val="24"/>
        </w:rPr>
        <w:t xml:space="preserve">the </w:t>
      </w:r>
      <w:r w:rsidRPr="00D57E3B">
        <w:rPr>
          <w:szCs w:val="24"/>
        </w:rPr>
        <w:t>Conference of the Parties at its twelfth meeting;</w:t>
      </w:r>
    </w:p>
    <w:p w:rsidR="00523046" w:rsidRPr="00D57E3B" w:rsidRDefault="00523046" w:rsidP="00523046">
      <w:pPr>
        <w:pStyle w:val="Normalnumber"/>
        <w:numPr>
          <w:ilvl w:val="0"/>
          <w:numId w:val="7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firstLine="624"/>
        <w:rPr>
          <w:szCs w:val="24"/>
        </w:rPr>
      </w:pPr>
      <w:r w:rsidRPr="00D57E3B">
        <w:rPr>
          <w:i/>
          <w:szCs w:val="24"/>
        </w:rPr>
        <w:t xml:space="preserve">Invites </w:t>
      </w:r>
      <w:r w:rsidRPr="00D57E3B">
        <w:rPr>
          <w:szCs w:val="24"/>
        </w:rPr>
        <w:t>parties and others to provide comments to the Secretariat on the revised draft guidelines referred to in paragraphs 5 and 6 above by 23 January 2015;</w:t>
      </w:r>
    </w:p>
    <w:p w:rsidR="00523046" w:rsidRPr="00A641B4" w:rsidRDefault="00523046" w:rsidP="00523046">
      <w:pPr>
        <w:pStyle w:val="Normalnumber"/>
        <w:numPr>
          <w:ilvl w:val="0"/>
          <w:numId w:val="7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firstLine="624"/>
        <w:rPr>
          <w:szCs w:val="24"/>
        </w:rPr>
      </w:pPr>
      <w:r w:rsidRPr="00D57E3B">
        <w:rPr>
          <w:i/>
          <w:szCs w:val="24"/>
        </w:rPr>
        <w:t>Invites</w:t>
      </w:r>
      <w:r w:rsidRPr="00D57E3B">
        <w:rPr>
          <w:szCs w:val="24"/>
        </w:rPr>
        <w:t xml:space="preserve"> the lead countries and lead organizations to prepare further revised draft</w:t>
      </w:r>
      <w:r>
        <w:rPr>
          <w:szCs w:val="24"/>
        </w:rPr>
        <w:t>s</w:t>
      </w:r>
      <w:r w:rsidRPr="00D57E3B">
        <w:rPr>
          <w:szCs w:val="24"/>
        </w:rPr>
        <w:t xml:space="preserve">, in consultation with the small </w:t>
      </w:r>
      <w:proofErr w:type="spellStart"/>
      <w:r w:rsidRPr="00D57E3B">
        <w:rPr>
          <w:szCs w:val="24"/>
        </w:rPr>
        <w:t>intersessional</w:t>
      </w:r>
      <w:proofErr w:type="spellEnd"/>
      <w:r w:rsidRPr="00D57E3B">
        <w:rPr>
          <w:szCs w:val="24"/>
        </w:rPr>
        <w:t xml:space="preserve"> working group, of the draft technical guidelines referred to in paragraphs 5 and 6 above by 6 March</w:t>
      </w:r>
      <w:r>
        <w:rPr>
          <w:szCs w:val="24"/>
        </w:rPr>
        <w:t xml:space="preserve"> 2015 </w:t>
      </w:r>
      <w:r w:rsidRPr="00541CE1">
        <w:rPr>
          <w:szCs w:val="24"/>
        </w:rPr>
        <w:t>for publication on the w</w:t>
      </w:r>
      <w:r>
        <w:rPr>
          <w:szCs w:val="24"/>
        </w:rPr>
        <w:t xml:space="preserve">ebsite of the Basel Convention </w:t>
      </w:r>
      <w:r w:rsidRPr="00AD112C">
        <w:rPr>
          <w:szCs w:val="24"/>
        </w:rPr>
        <w:t>and requests the Secretariat to make them available as information</w:t>
      </w:r>
      <w:r w:rsidRPr="00A641B4">
        <w:rPr>
          <w:szCs w:val="24"/>
        </w:rPr>
        <w:t xml:space="preserve"> documents for the twelfth meeting of the Conference of the Parties to the Basel Convention</w:t>
      </w:r>
      <w:r>
        <w:rPr>
          <w:szCs w:val="24"/>
        </w:rPr>
        <w:t>;</w:t>
      </w:r>
    </w:p>
    <w:p w:rsidR="00523046" w:rsidRPr="00A641B4" w:rsidRDefault="00523046" w:rsidP="00523046">
      <w:pPr>
        <w:pStyle w:val="Normalnumber"/>
        <w:numPr>
          <w:ilvl w:val="0"/>
          <w:numId w:val="7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firstLine="624"/>
        <w:rPr>
          <w:szCs w:val="24"/>
        </w:rPr>
      </w:pPr>
      <w:r w:rsidRPr="00A641B4" w:rsidDel="00AD5BF9">
        <w:rPr>
          <w:szCs w:val="24"/>
        </w:rPr>
        <w:t xml:space="preserve"> </w:t>
      </w:r>
      <w:r w:rsidRPr="00A641B4">
        <w:rPr>
          <w:i/>
          <w:szCs w:val="24"/>
        </w:rPr>
        <w:t>Invites</w:t>
      </w:r>
      <w:r w:rsidRPr="00A641B4">
        <w:rPr>
          <w:szCs w:val="24"/>
        </w:rPr>
        <w:t xml:space="preserve"> parties and others to provide by 10 April 201</w:t>
      </w:r>
      <w:r>
        <w:rPr>
          <w:szCs w:val="24"/>
        </w:rPr>
        <w:t>5</w:t>
      </w:r>
      <w:r w:rsidRPr="00A641B4">
        <w:rPr>
          <w:szCs w:val="24"/>
        </w:rPr>
        <w:t xml:space="preserve"> comments on the </w:t>
      </w:r>
      <w:r>
        <w:rPr>
          <w:szCs w:val="24"/>
        </w:rPr>
        <w:t>further</w:t>
      </w:r>
      <w:r w:rsidRPr="00A641B4">
        <w:rPr>
          <w:szCs w:val="24"/>
        </w:rPr>
        <w:t xml:space="preserve"> draft technical guidelines made available </w:t>
      </w:r>
      <w:r w:rsidRPr="00541CE1">
        <w:rPr>
          <w:szCs w:val="24"/>
        </w:rPr>
        <w:t>on the w</w:t>
      </w:r>
      <w:r>
        <w:rPr>
          <w:szCs w:val="24"/>
        </w:rPr>
        <w:t xml:space="preserve">ebsite of the Basel Convention </w:t>
      </w:r>
      <w:r w:rsidRPr="00A641B4">
        <w:rPr>
          <w:szCs w:val="24"/>
        </w:rPr>
        <w:t xml:space="preserve">and requests the Secretariat to compile the </w:t>
      </w:r>
      <w:r>
        <w:rPr>
          <w:szCs w:val="24"/>
        </w:rPr>
        <w:t>comments</w:t>
      </w:r>
      <w:r w:rsidRPr="00A641B4">
        <w:rPr>
          <w:szCs w:val="24"/>
        </w:rPr>
        <w:t xml:space="preserve"> </w:t>
      </w:r>
      <w:r>
        <w:rPr>
          <w:szCs w:val="24"/>
        </w:rPr>
        <w:t xml:space="preserve">received </w:t>
      </w:r>
      <w:r w:rsidRPr="00A641B4">
        <w:rPr>
          <w:szCs w:val="24"/>
        </w:rPr>
        <w:t xml:space="preserve">for information and </w:t>
      </w:r>
      <w:r>
        <w:rPr>
          <w:szCs w:val="24"/>
        </w:rPr>
        <w:t xml:space="preserve">to </w:t>
      </w:r>
      <w:r w:rsidRPr="00A641B4">
        <w:rPr>
          <w:szCs w:val="24"/>
        </w:rPr>
        <w:t xml:space="preserve">publish them on the </w:t>
      </w:r>
      <w:r>
        <w:rPr>
          <w:szCs w:val="24"/>
        </w:rPr>
        <w:t xml:space="preserve">Basel Convention </w:t>
      </w:r>
      <w:r w:rsidRPr="00A641B4">
        <w:rPr>
          <w:szCs w:val="24"/>
        </w:rPr>
        <w:t>website;</w:t>
      </w:r>
    </w:p>
    <w:p w:rsidR="00523046" w:rsidRPr="00A641B4" w:rsidRDefault="00523046" w:rsidP="00523046">
      <w:pPr>
        <w:pStyle w:val="Normalnumber"/>
        <w:numPr>
          <w:ilvl w:val="0"/>
          <w:numId w:val="7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firstLine="624"/>
        <w:rPr>
          <w:szCs w:val="24"/>
        </w:rPr>
      </w:pPr>
      <w:r w:rsidRPr="00A641B4">
        <w:rPr>
          <w:i/>
          <w:szCs w:val="24"/>
        </w:rPr>
        <w:t>Recognizes</w:t>
      </w:r>
      <w:r w:rsidRPr="00A641B4">
        <w:rPr>
          <w:szCs w:val="24"/>
        </w:rPr>
        <w:t xml:space="preserve"> the significance of </w:t>
      </w:r>
      <w:proofErr w:type="spellStart"/>
      <w:r w:rsidRPr="00A641B4">
        <w:rPr>
          <w:szCs w:val="24"/>
        </w:rPr>
        <w:t>decabromodiphenyl</w:t>
      </w:r>
      <w:proofErr w:type="spellEnd"/>
      <w:r w:rsidRPr="00A641B4">
        <w:rPr>
          <w:szCs w:val="24"/>
        </w:rPr>
        <w:t xml:space="preserve"> ether as a precursor to </w:t>
      </w:r>
      <w:proofErr w:type="spellStart"/>
      <w:r w:rsidRPr="00A641B4">
        <w:rPr>
          <w:szCs w:val="24"/>
        </w:rPr>
        <w:t>penta</w:t>
      </w:r>
      <w:r>
        <w:rPr>
          <w:szCs w:val="24"/>
        </w:rPr>
        <w:t>bromdiphenyl</w:t>
      </w:r>
      <w:proofErr w:type="spellEnd"/>
      <w:r>
        <w:rPr>
          <w:szCs w:val="24"/>
        </w:rPr>
        <w:t xml:space="preserve"> ether</w:t>
      </w:r>
      <w:r w:rsidRPr="00A641B4">
        <w:rPr>
          <w:szCs w:val="24"/>
        </w:rPr>
        <w:t xml:space="preserve"> and </w:t>
      </w:r>
      <w:proofErr w:type="spellStart"/>
      <w:r w:rsidRPr="00A641B4">
        <w:rPr>
          <w:szCs w:val="24"/>
        </w:rPr>
        <w:t>octa</w:t>
      </w:r>
      <w:r>
        <w:rPr>
          <w:szCs w:val="24"/>
        </w:rPr>
        <w:t>bromodiphenyl</w:t>
      </w:r>
      <w:proofErr w:type="spellEnd"/>
      <w:r>
        <w:rPr>
          <w:szCs w:val="24"/>
        </w:rPr>
        <w:t xml:space="preserve"> ether</w:t>
      </w:r>
      <w:r w:rsidRPr="00A641B4">
        <w:rPr>
          <w:szCs w:val="24"/>
        </w:rPr>
        <w:t xml:space="preserve"> and </w:t>
      </w:r>
      <w:r w:rsidRPr="00AD112C">
        <w:rPr>
          <w:szCs w:val="24"/>
        </w:rPr>
        <w:t>recommends</w:t>
      </w:r>
      <w:r w:rsidRPr="00A641B4">
        <w:rPr>
          <w:i/>
          <w:szCs w:val="24"/>
        </w:rPr>
        <w:t xml:space="preserve"> </w:t>
      </w:r>
      <w:r w:rsidRPr="00A641B4">
        <w:rPr>
          <w:szCs w:val="24"/>
        </w:rPr>
        <w:t xml:space="preserve">to the Conference of the Parties </w:t>
      </w:r>
      <w:r>
        <w:rPr>
          <w:szCs w:val="24"/>
        </w:rPr>
        <w:t>that at its twelfth meeting it</w:t>
      </w:r>
      <w:r w:rsidRPr="00A641B4">
        <w:rPr>
          <w:szCs w:val="24"/>
        </w:rPr>
        <w:t xml:space="preserve"> consider specifying </w:t>
      </w:r>
      <w:r>
        <w:rPr>
          <w:szCs w:val="24"/>
        </w:rPr>
        <w:t xml:space="preserve">and including </w:t>
      </w:r>
      <w:r w:rsidRPr="00A641B4">
        <w:rPr>
          <w:szCs w:val="24"/>
        </w:rPr>
        <w:t xml:space="preserve">work related to </w:t>
      </w:r>
      <w:proofErr w:type="spellStart"/>
      <w:r w:rsidRPr="00A641B4">
        <w:rPr>
          <w:szCs w:val="24"/>
        </w:rPr>
        <w:t>decabromodiphenyl</w:t>
      </w:r>
      <w:proofErr w:type="spellEnd"/>
      <w:r w:rsidRPr="00A641B4">
        <w:rPr>
          <w:szCs w:val="24"/>
        </w:rPr>
        <w:t xml:space="preserve"> ether </w:t>
      </w:r>
      <w:r>
        <w:rPr>
          <w:szCs w:val="24"/>
        </w:rPr>
        <w:t xml:space="preserve"> </w:t>
      </w:r>
      <w:r w:rsidRPr="00EF4CE4">
        <w:rPr>
          <w:szCs w:val="24"/>
        </w:rPr>
        <w:t>in</w:t>
      </w:r>
      <w:r w:rsidRPr="00A641B4">
        <w:rPr>
          <w:szCs w:val="24"/>
        </w:rPr>
        <w:t xml:space="preserve"> the work programme of the Open-ended Working Group for 2016</w:t>
      </w:r>
      <w:r>
        <w:rPr>
          <w:szCs w:val="24"/>
        </w:rPr>
        <w:t>–</w:t>
      </w:r>
      <w:r w:rsidRPr="00A641B4">
        <w:rPr>
          <w:szCs w:val="24"/>
        </w:rPr>
        <w:t xml:space="preserve">2017, taking into account the work undertaken </w:t>
      </w:r>
      <w:r>
        <w:rPr>
          <w:szCs w:val="24"/>
        </w:rPr>
        <w:t>under</w:t>
      </w:r>
      <w:r w:rsidRPr="00A641B4">
        <w:rPr>
          <w:szCs w:val="24"/>
        </w:rPr>
        <w:t xml:space="preserve"> the Stockholm Convention </w:t>
      </w:r>
      <w:r>
        <w:rPr>
          <w:szCs w:val="24"/>
        </w:rPr>
        <w:t xml:space="preserve">on Persistent Organic Pollutants, </w:t>
      </w:r>
      <w:r w:rsidRPr="00A641B4">
        <w:rPr>
          <w:szCs w:val="24"/>
        </w:rPr>
        <w:t xml:space="preserve">and inviting </w:t>
      </w:r>
      <w:r>
        <w:rPr>
          <w:szCs w:val="24"/>
        </w:rPr>
        <w:t>p</w:t>
      </w:r>
      <w:r w:rsidRPr="00A641B4">
        <w:rPr>
          <w:szCs w:val="24"/>
        </w:rPr>
        <w:t>arties to consider serv</w:t>
      </w:r>
      <w:r>
        <w:rPr>
          <w:szCs w:val="24"/>
        </w:rPr>
        <w:t>ing</w:t>
      </w:r>
      <w:r w:rsidRPr="00A641B4">
        <w:rPr>
          <w:szCs w:val="24"/>
        </w:rPr>
        <w:t xml:space="preserve"> as lead country for such work;</w:t>
      </w:r>
    </w:p>
    <w:p w:rsidR="00523046" w:rsidRPr="00A641B4" w:rsidRDefault="00523046" w:rsidP="00523046">
      <w:pPr>
        <w:pStyle w:val="Normalnumber"/>
        <w:numPr>
          <w:ilvl w:val="0"/>
          <w:numId w:val="7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firstLine="624"/>
        <w:rPr>
          <w:szCs w:val="24"/>
        </w:rPr>
      </w:pPr>
      <w:r w:rsidRPr="00A641B4">
        <w:rPr>
          <w:i/>
          <w:szCs w:val="24"/>
        </w:rPr>
        <w:t>Recognizes</w:t>
      </w:r>
      <w:r w:rsidRPr="00A641B4">
        <w:rPr>
          <w:szCs w:val="24"/>
        </w:rPr>
        <w:t xml:space="preserve"> </w:t>
      </w:r>
      <w:r>
        <w:rPr>
          <w:i/>
          <w:szCs w:val="24"/>
        </w:rPr>
        <w:t xml:space="preserve">also </w:t>
      </w:r>
      <w:r w:rsidRPr="00A641B4">
        <w:rPr>
          <w:szCs w:val="24"/>
        </w:rPr>
        <w:t xml:space="preserve">the need to clarify the applicability of the Basel Convention to waste consisting of, containing or contaminated with </w:t>
      </w:r>
      <w:proofErr w:type="spellStart"/>
      <w:r w:rsidRPr="00A641B4">
        <w:rPr>
          <w:szCs w:val="24"/>
        </w:rPr>
        <w:t>polybrominated</w:t>
      </w:r>
      <w:proofErr w:type="spellEnd"/>
      <w:r w:rsidRPr="00A641B4">
        <w:rPr>
          <w:szCs w:val="24"/>
        </w:rPr>
        <w:t xml:space="preserve"> </w:t>
      </w:r>
      <w:proofErr w:type="spellStart"/>
      <w:r w:rsidRPr="00A641B4">
        <w:rPr>
          <w:szCs w:val="24"/>
        </w:rPr>
        <w:t>diphenyl</w:t>
      </w:r>
      <w:proofErr w:type="spellEnd"/>
      <w:r w:rsidRPr="00A641B4">
        <w:rPr>
          <w:szCs w:val="24"/>
        </w:rPr>
        <w:t xml:space="preserve"> ethers</w:t>
      </w:r>
      <w:r>
        <w:rPr>
          <w:szCs w:val="24"/>
        </w:rPr>
        <w:t xml:space="preserve"> and</w:t>
      </w:r>
      <w:r w:rsidRPr="00A641B4">
        <w:rPr>
          <w:szCs w:val="24"/>
        </w:rPr>
        <w:t xml:space="preserve"> </w:t>
      </w:r>
      <w:r w:rsidRPr="00AD112C">
        <w:rPr>
          <w:szCs w:val="24"/>
        </w:rPr>
        <w:t>recommends</w:t>
      </w:r>
      <w:r w:rsidRPr="00A641B4">
        <w:rPr>
          <w:szCs w:val="24"/>
        </w:rPr>
        <w:t xml:space="preserve"> to the </w:t>
      </w:r>
      <w:r>
        <w:rPr>
          <w:szCs w:val="24"/>
        </w:rPr>
        <w:t xml:space="preserve">Conference of the Parties that at its twelfth meeting it </w:t>
      </w:r>
      <w:r w:rsidRPr="00A641B4">
        <w:rPr>
          <w:szCs w:val="24"/>
        </w:rPr>
        <w:t xml:space="preserve">consider including work on the interpretation of entry A3180 in Annex VIII </w:t>
      </w:r>
      <w:r>
        <w:rPr>
          <w:szCs w:val="24"/>
        </w:rPr>
        <w:t>to</w:t>
      </w:r>
      <w:r w:rsidRPr="00A641B4">
        <w:rPr>
          <w:szCs w:val="24"/>
        </w:rPr>
        <w:t xml:space="preserve"> the Basel Convention in the work programme of the Open-ended Working Group for 2016</w:t>
      </w:r>
      <w:r>
        <w:rPr>
          <w:szCs w:val="24"/>
        </w:rPr>
        <w:t>–</w:t>
      </w:r>
      <w:r w:rsidRPr="00A641B4">
        <w:rPr>
          <w:szCs w:val="24"/>
        </w:rPr>
        <w:t>2017;</w:t>
      </w:r>
    </w:p>
    <w:p w:rsidR="00523046" w:rsidRPr="00F6399B" w:rsidRDefault="00523046" w:rsidP="00523046">
      <w:pPr>
        <w:pStyle w:val="Normalnumber"/>
        <w:numPr>
          <w:ilvl w:val="0"/>
          <w:numId w:val="7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firstLine="624"/>
        <w:rPr>
          <w:szCs w:val="24"/>
        </w:rPr>
      </w:pPr>
      <w:r w:rsidRPr="00A641B4">
        <w:rPr>
          <w:i/>
          <w:szCs w:val="24"/>
        </w:rPr>
        <w:t xml:space="preserve">Requests </w:t>
      </w:r>
      <w:r w:rsidRPr="00A641B4">
        <w:rPr>
          <w:szCs w:val="24"/>
        </w:rPr>
        <w:t xml:space="preserve">the Secretariat to transmit to the Stockholm </w:t>
      </w:r>
      <w:r>
        <w:rPr>
          <w:szCs w:val="24"/>
        </w:rPr>
        <w:t>Convention S</w:t>
      </w:r>
      <w:r w:rsidRPr="00A641B4">
        <w:rPr>
          <w:szCs w:val="24"/>
        </w:rPr>
        <w:t xml:space="preserve">ecretariat the comments </w:t>
      </w:r>
      <w:r>
        <w:rPr>
          <w:szCs w:val="24"/>
        </w:rPr>
        <w:t>made by the Open-ended Working Group</w:t>
      </w:r>
      <w:r w:rsidRPr="00A641B4">
        <w:rPr>
          <w:rStyle w:val="FootnoteReference"/>
        </w:rPr>
        <w:footnoteReference w:id="4"/>
      </w:r>
      <w:r>
        <w:rPr>
          <w:szCs w:val="24"/>
        </w:rPr>
        <w:t xml:space="preserve"> </w:t>
      </w:r>
      <w:r w:rsidRPr="00A641B4">
        <w:rPr>
          <w:szCs w:val="24"/>
        </w:rPr>
        <w:t xml:space="preserve">on </w:t>
      </w:r>
      <w:r>
        <w:rPr>
          <w:szCs w:val="24"/>
        </w:rPr>
        <w:t xml:space="preserve">four Stockholm Convention </w:t>
      </w:r>
      <w:r w:rsidRPr="00A641B4">
        <w:rPr>
          <w:szCs w:val="24"/>
        </w:rPr>
        <w:t xml:space="preserve">draft </w:t>
      </w:r>
      <w:r>
        <w:rPr>
          <w:szCs w:val="24"/>
        </w:rPr>
        <w:t xml:space="preserve">guidance </w:t>
      </w:r>
      <w:r w:rsidRPr="00A641B4">
        <w:rPr>
          <w:szCs w:val="24"/>
        </w:rPr>
        <w:t>documents</w:t>
      </w:r>
      <w:r w:rsidRPr="00A641B4">
        <w:rPr>
          <w:rStyle w:val="FootnoteReference"/>
        </w:rPr>
        <w:footnoteReference w:id="5"/>
      </w:r>
      <w:r w:rsidRPr="00A641B4">
        <w:rPr>
          <w:szCs w:val="24"/>
        </w:rPr>
        <w:t xml:space="preserve"> by 31</w:t>
      </w:r>
      <w:r>
        <w:rPr>
          <w:szCs w:val="24"/>
        </w:rPr>
        <w:t> </w:t>
      </w:r>
      <w:r w:rsidRPr="00A641B4">
        <w:rPr>
          <w:szCs w:val="24"/>
        </w:rPr>
        <w:t>October 2014 at the latest</w:t>
      </w:r>
      <w:r>
        <w:rPr>
          <w:szCs w:val="24"/>
        </w:rPr>
        <w:t>, as requested in paragraph 9 (b) of decision BC-11/3</w:t>
      </w:r>
      <w:r w:rsidRPr="00A641B4">
        <w:rPr>
          <w:szCs w:val="24"/>
        </w:rPr>
        <w:t>;</w:t>
      </w:r>
      <w:r>
        <w:rPr>
          <w:szCs w:val="24"/>
        </w:rPr>
        <w:t xml:space="preserve"> </w:t>
      </w:r>
    </w:p>
    <w:p w:rsidR="00523046" w:rsidRPr="00F6399B" w:rsidRDefault="00523046" w:rsidP="00523046">
      <w:pPr>
        <w:pStyle w:val="Normalnumber"/>
        <w:numPr>
          <w:ilvl w:val="0"/>
          <w:numId w:val="7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firstLine="624"/>
        <w:rPr>
          <w:szCs w:val="24"/>
        </w:rPr>
      </w:pPr>
      <w:r w:rsidRPr="00F6399B">
        <w:rPr>
          <w:i/>
          <w:szCs w:val="24"/>
        </w:rPr>
        <w:lastRenderedPageBreak/>
        <w:t>Requests</w:t>
      </w:r>
      <w:r w:rsidRPr="00F6399B">
        <w:rPr>
          <w:szCs w:val="24"/>
        </w:rPr>
        <w:t xml:space="preserve"> the Secretariat to inform the appropriate bodies of the Stockholm Convention of the work undertaken by the Open-ended Working Group relating to the technical guidelines on persistent organic pollutants</w:t>
      </w:r>
      <w:r w:rsidRPr="00F6399B">
        <w:rPr>
          <w:iCs/>
          <w:color w:val="000000"/>
          <w:lang w:eastAsia="en-CA"/>
        </w:rPr>
        <w:t>.</w:t>
      </w:r>
    </w:p>
    <w:p w:rsidR="000B25F8" w:rsidRPr="00523046" w:rsidRDefault="000B25F8" w:rsidP="00523046"/>
    <w:sectPr w:rsidR="000B25F8" w:rsidRPr="00523046" w:rsidSect="003508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5F8" w:rsidRDefault="000B25F8" w:rsidP="000B25F8">
      <w:r>
        <w:separator/>
      </w:r>
    </w:p>
  </w:endnote>
  <w:endnote w:type="continuationSeparator" w:id="0">
    <w:p w:rsidR="000B25F8" w:rsidRDefault="000B25F8" w:rsidP="000B25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5F8" w:rsidRDefault="000B25F8" w:rsidP="000B25F8">
      <w:r>
        <w:separator/>
      </w:r>
    </w:p>
  </w:footnote>
  <w:footnote w:type="continuationSeparator" w:id="0">
    <w:p w:rsidR="000B25F8" w:rsidRDefault="000B25F8" w:rsidP="000B25F8">
      <w:r>
        <w:continuationSeparator/>
      </w:r>
    </w:p>
  </w:footnote>
  <w:footnote w:id="1">
    <w:p w:rsidR="00523046" w:rsidRPr="00AD112C" w:rsidRDefault="00523046" w:rsidP="00523046">
      <w:pPr>
        <w:pStyle w:val="FootnoteText"/>
        <w:rPr>
          <w:szCs w:val="18"/>
          <w:lang w:val="en-US"/>
        </w:rPr>
      </w:pPr>
      <w:r w:rsidRPr="00E617CD">
        <w:rPr>
          <w:rStyle w:val="FootnoteReference"/>
        </w:rPr>
        <w:footnoteRef/>
      </w:r>
      <w:r w:rsidRPr="00AD112C">
        <w:rPr>
          <w:szCs w:val="18"/>
          <w:lang w:val="en-US"/>
        </w:rPr>
        <w:t xml:space="preserve"> </w:t>
      </w:r>
      <w:proofErr w:type="gramStart"/>
      <w:r w:rsidRPr="00AD112C">
        <w:rPr>
          <w:szCs w:val="18"/>
          <w:lang w:val="en-US"/>
        </w:rPr>
        <w:t>UNEP/CHW/OEWG.9/INF/9–13 and INF/23.</w:t>
      </w:r>
      <w:proofErr w:type="gramEnd"/>
    </w:p>
  </w:footnote>
  <w:footnote w:id="2">
    <w:p w:rsidR="00523046" w:rsidRPr="00E617CD" w:rsidRDefault="00523046" w:rsidP="00523046">
      <w:pPr>
        <w:pStyle w:val="FootnoteText"/>
        <w:rPr>
          <w:szCs w:val="18"/>
          <w:lang w:val="en-US"/>
        </w:rPr>
      </w:pPr>
      <w:r w:rsidRPr="00E617CD">
        <w:rPr>
          <w:rStyle w:val="FootnoteReference"/>
        </w:rPr>
        <w:footnoteRef/>
      </w:r>
      <w:r w:rsidRPr="00E617CD">
        <w:rPr>
          <w:szCs w:val="18"/>
          <w:lang w:val="en-US"/>
        </w:rPr>
        <w:t xml:space="preserve"> UNEP/CHW/OEWG.9/INF/9/Add.1.</w:t>
      </w:r>
    </w:p>
  </w:footnote>
  <w:footnote w:id="3">
    <w:p w:rsidR="00523046" w:rsidRPr="00E617CD" w:rsidRDefault="00523046" w:rsidP="00523046">
      <w:pPr>
        <w:pStyle w:val="FootnoteText"/>
        <w:rPr>
          <w:szCs w:val="18"/>
          <w:lang w:val="en-US"/>
        </w:rPr>
      </w:pPr>
      <w:r w:rsidRPr="00E617CD">
        <w:rPr>
          <w:rStyle w:val="FootnoteReference"/>
        </w:rPr>
        <w:footnoteRef/>
      </w:r>
      <w:r w:rsidRPr="00E617CD">
        <w:rPr>
          <w:szCs w:val="18"/>
          <w:lang w:val="en-US"/>
        </w:rPr>
        <w:t xml:space="preserve"> UNEP/CHW/OEWG.9/INF/9/Add.2.</w:t>
      </w:r>
    </w:p>
  </w:footnote>
  <w:footnote w:id="4">
    <w:p w:rsidR="00523046" w:rsidRPr="00E617CD" w:rsidRDefault="00523046" w:rsidP="00523046">
      <w:pPr>
        <w:pStyle w:val="FootnoteText"/>
        <w:rPr>
          <w:szCs w:val="18"/>
          <w:lang w:val="en-US"/>
        </w:rPr>
      </w:pPr>
      <w:r w:rsidRPr="00E617CD">
        <w:rPr>
          <w:rStyle w:val="FootnoteReference"/>
        </w:rPr>
        <w:footnoteRef/>
      </w:r>
      <w:r w:rsidRPr="00E617CD">
        <w:rPr>
          <w:szCs w:val="18"/>
          <w:lang w:val="en-US"/>
        </w:rPr>
        <w:t xml:space="preserve"> UNEP/CHW/OEWG.9/INF/30/Rev.1.</w:t>
      </w:r>
    </w:p>
  </w:footnote>
  <w:footnote w:id="5">
    <w:p w:rsidR="00523046" w:rsidRPr="00E617CD" w:rsidRDefault="00523046" w:rsidP="00523046">
      <w:pPr>
        <w:pStyle w:val="FootnoteText"/>
        <w:rPr>
          <w:szCs w:val="18"/>
          <w:lang w:val="en-US"/>
        </w:rPr>
      </w:pPr>
      <w:r w:rsidRPr="00E617CD">
        <w:rPr>
          <w:rStyle w:val="FootnoteReference"/>
        </w:rPr>
        <w:footnoteRef/>
      </w:r>
      <w:r w:rsidRPr="00E617CD">
        <w:rPr>
          <w:szCs w:val="18"/>
          <w:lang w:val="en-US"/>
        </w:rPr>
        <w:t xml:space="preserve"> Draft guidance document for the inventory of </w:t>
      </w:r>
      <w:proofErr w:type="spellStart"/>
      <w:r w:rsidRPr="00E617CD">
        <w:rPr>
          <w:szCs w:val="18"/>
          <w:lang w:val="en-US"/>
        </w:rPr>
        <w:t>perfluorooctane</w:t>
      </w:r>
      <w:proofErr w:type="spellEnd"/>
      <w:r w:rsidRPr="00E617CD">
        <w:rPr>
          <w:szCs w:val="18"/>
          <w:lang w:val="en-US"/>
        </w:rPr>
        <w:t xml:space="preserve"> </w:t>
      </w:r>
      <w:proofErr w:type="spellStart"/>
      <w:r w:rsidRPr="00E617CD">
        <w:rPr>
          <w:szCs w:val="18"/>
          <w:lang w:val="en-US"/>
        </w:rPr>
        <w:t>sulfonic</w:t>
      </w:r>
      <w:proofErr w:type="spellEnd"/>
      <w:r w:rsidRPr="00E617CD">
        <w:rPr>
          <w:szCs w:val="18"/>
          <w:lang w:val="en-US"/>
        </w:rPr>
        <w:t xml:space="preserve"> acid and related chemicals listed under the Stockholm Convention (2012), draft guidance for the inventory of </w:t>
      </w:r>
      <w:proofErr w:type="spellStart"/>
      <w:r w:rsidRPr="00E617CD">
        <w:rPr>
          <w:szCs w:val="18"/>
          <w:lang w:val="en-US"/>
        </w:rPr>
        <w:t>polybrominated</w:t>
      </w:r>
      <w:proofErr w:type="spellEnd"/>
      <w:r w:rsidRPr="00E617CD">
        <w:rPr>
          <w:szCs w:val="18"/>
          <w:lang w:val="en-US"/>
        </w:rPr>
        <w:t xml:space="preserve"> </w:t>
      </w:r>
      <w:proofErr w:type="spellStart"/>
      <w:r w:rsidRPr="00E617CD">
        <w:rPr>
          <w:szCs w:val="18"/>
          <w:lang w:val="en-US"/>
        </w:rPr>
        <w:t>diphenyl</w:t>
      </w:r>
      <w:proofErr w:type="spellEnd"/>
      <w:r w:rsidRPr="00E617CD">
        <w:rPr>
          <w:szCs w:val="18"/>
          <w:lang w:val="en-US"/>
        </w:rPr>
        <w:t xml:space="preserve"> ethers listed under the Stockholm Convention (2012), draft guidance on best available techniques and best environmental practices for the use of </w:t>
      </w:r>
      <w:proofErr w:type="spellStart"/>
      <w:r w:rsidRPr="00E617CD">
        <w:rPr>
          <w:szCs w:val="18"/>
          <w:lang w:val="en-US"/>
        </w:rPr>
        <w:t>perfluorooctane</w:t>
      </w:r>
      <w:proofErr w:type="spellEnd"/>
      <w:r w:rsidRPr="00E617CD">
        <w:rPr>
          <w:szCs w:val="18"/>
          <w:lang w:val="en-US"/>
        </w:rPr>
        <w:t xml:space="preserve"> </w:t>
      </w:r>
      <w:proofErr w:type="spellStart"/>
      <w:r w:rsidRPr="00E617CD">
        <w:rPr>
          <w:szCs w:val="18"/>
          <w:lang w:val="en-US"/>
        </w:rPr>
        <w:t>sulfonic</w:t>
      </w:r>
      <w:proofErr w:type="spellEnd"/>
      <w:r w:rsidRPr="00E617CD">
        <w:rPr>
          <w:szCs w:val="18"/>
          <w:lang w:val="en-US"/>
        </w:rPr>
        <w:t xml:space="preserve"> acid and related chemicals listed under the Stockholm Convention (2012)</w:t>
      </w:r>
      <w:r>
        <w:rPr>
          <w:szCs w:val="18"/>
          <w:lang w:val="en-US"/>
        </w:rPr>
        <w:t>;</w:t>
      </w:r>
      <w:r w:rsidRPr="00E617CD">
        <w:rPr>
          <w:szCs w:val="18"/>
          <w:lang w:val="en-US"/>
        </w:rPr>
        <w:t xml:space="preserve"> draft guidance on best available techniques and best environmental practices for recycling and waste disposal of articles containing </w:t>
      </w:r>
      <w:proofErr w:type="spellStart"/>
      <w:r w:rsidRPr="00E617CD">
        <w:rPr>
          <w:szCs w:val="18"/>
          <w:lang w:val="en-US"/>
        </w:rPr>
        <w:t>polybrominated</w:t>
      </w:r>
      <w:proofErr w:type="spellEnd"/>
      <w:r w:rsidRPr="00E617CD">
        <w:rPr>
          <w:szCs w:val="18"/>
          <w:lang w:val="en-US"/>
        </w:rPr>
        <w:t xml:space="preserve"> </w:t>
      </w:r>
      <w:proofErr w:type="spellStart"/>
      <w:r w:rsidRPr="00E617CD">
        <w:rPr>
          <w:szCs w:val="18"/>
          <w:lang w:val="en-US"/>
        </w:rPr>
        <w:t>diphenyl</w:t>
      </w:r>
      <w:proofErr w:type="spellEnd"/>
      <w:r w:rsidRPr="00E617CD">
        <w:rPr>
          <w:szCs w:val="18"/>
          <w:lang w:val="en-US"/>
        </w:rPr>
        <w:t xml:space="preserve"> ethers listed under the Stockholm Convention (2012).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556C3"/>
    <w:multiLevelType w:val="multilevel"/>
    <w:tmpl w:val="5B380A66"/>
    <w:lvl w:ilvl="0">
      <w:start w:val="1"/>
      <w:numFmt w:val="decimal"/>
      <w:lvlText w:val="%1."/>
      <w:lvlJc w:val="left"/>
      <w:pPr>
        <w:tabs>
          <w:tab w:val="num" w:pos="568"/>
        </w:tabs>
        <w:ind w:left="1248" w:firstLine="0"/>
      </w:pPr>
      <w:rPr>
        <w:rFonts w:hint="default"/>
        <w:vertAlign w:val="baseline"/>
      </w:rPr>
    </w:lvl>
    <w:lvl w:ilvl="1">
      <w:start w:val="1"/>
      <w:numFmt w:val="lowerLetter"/>
      <w:lvlText w:val="(%2)"/>
      <w:lvlJc w:val="left"/>
      <w:pPr>
        <w:tabs>
          <w:tab w:val="num" w:pos="568"/>
        </w:tabs>
        <w:ind w:left="1248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8"/>
        </w:tabs>
        <w:ind w:left="2949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8"/>
        </w:tabs>
        <w:ind w:left="3516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9"/>
        </w:tabs>
        <w:ind w:left="65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9"/>
        </w:tabs>
        <w:ind w:left="72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9"/>
        </w:tabs>
        <w:ind w:left="79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9"/>
        </w:tabs>
        <w:ind w:left="87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9"/>
        </w:tabs>
        <w:ind w:left="9429" w:hanging="180"/>
      </w:pPr>
      <w:rPr>
        <w:rFonts w:hint="default"/>
      </w:rPr>
    </w:lvl>
  </w:abstractNum>
  <w:abstractNum w:abstractNumId="1">
    <w:nsid w:val="241442DA"/>
    <w:multiLevelType w:val="hybridMultilevel"/>
    <w:tmpl w:val="ACA00756"/>
    <w:lvl w:ilvl="0" w:tplc="0B02D1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E37C56"/>
    <w:multiLevelType w:val="hybridMultilevel"/>
    <w:tmpl w:val="6E1ED5F8"/>
    <w:lvl w:ilvl="0" w:tplc="C9900F68">
      <w:start w:val="1"/>
      <w:numFmt w:val="decimal"/>
      <w:pStyle w:val="NormalNonumber"/>
      <w:lvlText w:val="%1."/>
      <w:lvlJc w:val="left"/>
      <w:pPr>
        <w:ind w:left="1967" w:hanging="360"/>
      </w:pPr>
      <w:rPr>
        <w:rFonts w:ascii="Times New Roman" w:hAnsi="Times New Roman" w:hint="default"/>
        <w:sz w:val="20"/>
      </w:rPr>
    </w:lvl>
    <w:lvl w:ilvl="1" w:tplc="08090019">
      <w:start w:val="1"/>
      <w:numFmt w:val="lowerLetter"/>
      <w:lvlText w:val="%2."/>
      <w:lvlJc w:val="left"/>
      <w:pPr>
        <w:ind w:left="2687" w:hanging="360"/>
      </w:pPr>
    </w:lvl>
    <w:lvl w:ilvl="2" w:tplc="0809001B" w:tentative="1">
      <w:start w:val="1"/>
      <w:numFmt w:val="lowerRoman"/>
      <w:lvlText w:val="%3."/>
      <w:lvlJc w:val="right"/>
      <w:pPr>
        <w:ind w:left="3407" w:hanging="180"/>
      </w:pPr>
    </w:lvl>
    <w:lvl w:ilvl="3" w:tplc="0809000F" w:tentative="1">
      <w:start w:val="1"/>
      <w:numFmt w:val="decimal"/>
      <w:lvlText w:val="%4."/>
      <w:lvlJc w:val="left"/>
      <w:pPr>
        <w:ind w:left="4127" w:hanging="360"/>
      </w:pPr>
    </w:lvl>
    <w:lvl w:ilvl="4" w:tplc="08090019" w:tentative="1">
      <w:start w:val="1"/>
      <w:numFmt w:val="lowerLetter"/>
      <w:lvlText w:val="%5."/>
      <w:lvlJc w:val="left"/>
      <w:pPr>
        <w:ind w:left="4847" w:hanging="360"/>
      </w:pPr>
    </w:lvl>
    <w:lvl w:ilvl="5" w:tplc="0809001B" w:tentative="1">
      <w:start w:val="1"/>
      <w:numFmt w:val="lowerRoman"/>
      <w:lvlText w:val="%6."/>
      <w:lvlJc w:val="right"/>
      <w:pPr>
        <w:ind w:left="5567" w:hanging="180"/>
      </w:pPr>
    </w:lvl>
    <w:lvl w:ilvl="6" w:tplc="0809000F" w:tentative="1">
      <w:start w:val="1"/>
      <w:numFmt w:val="decimal"/>
      <w:lvlText w:val="%7."/>
      <w:lvlJc w:val="left"/>
      <w:pPr>
        <w:ind w:left="6287" w:hanging="360"/>
      </w:pPr>
    </w:lvl>
    <w:lvl w:ilvl="7" w:tplc="08090019" w:tentative="1">
      <w:start w:val="1"/>
      <w:numFmt w:val="lowerLetter"/>
      <w:lvlText w:val="%8."/>
      <w:lvlJc w:val="left"/>
      <w:pPr>
        <w:ind w:left="7007" w:hanging="360"/>
      </w:pPr>
    </w:lvl>
    <w:lvl w:ilvl="8" w:tplc="0809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3">
    <w:nsid w:val="483A2339"/>
    <w:multiLevelType w:val="hybridMultilevel"/>
    <w:tmpl w:val="F1B662D0"/>
    <w:lvl w:ilvl="0" w:tplc="3102673C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27" w:hanging="360"/>
      </w:pPr>
    </w:lvl>
    <w:lvl w:ilvl="2" w:tplc="0409001B" w:tentative="1">
      <w:start w:val="1"/>
      <w:numFmt w:val="lowerRoman"/>
      <w:lvlText w:val="%3."/>
      <w:lvlJc w:val="right"/>
      <w:pPr>
        <w:ind w:left="3047" w:hanging="180"/>
      </w:pPr>
    </w:lvl>
    <w:lvl w:ilvl="3" w:tplc="0409000F" w:tentative="1">
      <w:start w:val="1"/>
      <w:numFmt w:val="decimal"/>
      <w:lvlText w:val="%4."/>
      <w:lvlJc w:val="left"/>
      <w:pPr>
        <w:ind w:left="3767" w:hanging="360"/>
      </w:pPr>
    </w:lvl>
    <w:lvl w:ilvl="4" w:tplc="04090019" w:tentative="1">
      <w:start w:val="1"/>
      <w:numFmt w:val="lowerLetter"/>
      <w:lvlText w:val="%5."/>
      <w:lvlJc w:val="left"/>
      <w:pPr>
        <w:ind w:left="4487" w:hanging="360"/>
      </w:pPr>
    </w:lvl>
    <w:lvl w:ilvl="5" w:tplc="0409001B" w:tentative="1">
      <w:start w:val="1"/>
      <w:numFmt w:val="lowerRoman"/>
      <w:lvlText w:val="%6."/>
      <w:lvlJc w:val="right"/>
      <w:pPr>
        <w:ind w:left="5207" w:hanging="180"/>
      </w:pPr>
    </w:lvl>
    <w:lvl w:ilvl="6" w:tplc="0409000F" w:tentative="1">
      <w:start w:val="1"/>
      <w:numFmt w:val="decimal"/>
      <w:lvlText w:val="%7."/>
      <w:lvlJc w:val="left"/>
      <w:pPr>
        <w:ind w:left="5927" w:hanging="360"/>
      </w:pPr>
    </w:lvl>
    <w:lvl w:ilvl="7" w:tplc="04090019" w:tentative="1">
      <w:start w:val="1"/>
      <w:numFmt w:val="lowerLetter"/>
      <w:lvlText w:val="%8."/>
      <w:lvlJc w:val="left"/>
      <w:pPr>
        <w:ind w:left="6647" w:hanging="360"/>
      </w:pPr>
    </w:lvl>
    <w:lvl w:ilvl="8" w:tplc="040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4">
    <w:nsid w:val="52A66A9D"/>
    <w:multiLevelType w:val="multilevel"/>
    <w:tmpl w:val="48241D10"/>
    <w:styleLink w:val="Normallist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i w:val="0"/>
        </w:rPr>
      </w:lvl>
    </w:lvlOverride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382D"/>
    <w:rsid w:val="000B25F8"/>
    <w:rsid w:val="0035083F"/>
    <w:rsid w:val="00523046"/>
    <w:rsid w:val="00827715"/>
    <w:rsid w:val="00A16B8F"/>
    <w:rsid w:val="00BF57B2"/>
    <w:rsid w:val="00E3382D"/>
    <w:rsid w:val="00FB5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82D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B25F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-pool">
    <w:name w:val="Normal-pool"/>
    <w:link w:val="Normal-poolChar"/>
    <w:rsid w:val="00E3382D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NormalNonumber">
    <w:name w:val="Normal_No_number"/>
    <w:basedOn w:val="Normal-pool"/>
    <w:rsid w:val="00E3382D"/>
    <w:pPr>
      <w:numPr>
        <w:numId w:val="1"/>
      </w:numPr>
      <w:spacing w:after="120"/>
    </w:pPr>
  </w:style>
  <w:style w:type="character" w:customStyle="1" w:styleId="Normal-poolChar">
    <w:name w:val="Normal-pool Char"/>
    <w:link w:val="Normal-pool"/>
    <w:locked/>
    <w:rsid w:val="00E3382D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"/>
    <w:rsid w:val="000B25F8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-pool"/>
    <w:link w:val="FootnoteTextChar"/>
    <w:rsid w:val="000B25F8"/>
    <w:pPr>
      <w:spacing w:before="20" w:after="40"/>
      <w:ind w:left="1247"/>
    </w:pPr>
    <w:rPr>
      <w:sz w:val="18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basedOn w:val="DefaultParagraphFont"/>
    <w:link w:val="FootnoteText"/>
    <w:rsid w:val="000B25F8"/>
    <w:rPr>
      <w:rFonts w:ascii="Times New Roman" w:eastAsia="Times New Roman" w:hAnsi="Times New Roman" w:cs="Times New Roman"/>
      <w:sz w:val="18"/>
      <w:szCs w:val="20"/>
      <w:lang w:val="en-GB"/>
    </w:rPr>
  </w:style>
  <w:style w:type="paragraph" w:customStyle="1" w:styleId="ZZAnxtitle">
    <w:name w:val="ZZ_Anx_title"/>
    <w:basedOn w:val="Normal-pool"/>
    <w:link w:val="ZZAnxtitleChar"/>
    <w:rsid w:val="000B25F8"/>
    <w:pPr>
      <w:spacing w:before="360" w:after="120"/>
      <w:ind w:left="1247"/>
    </w:pPr>
    <w:rPr>
      <w:b/>
      <w:bCs/>
      <w:sz w:val="28"/>
      <w:szCs w:val="26"/>
    </w:rPr>
  </w:style>
  <w:style w:type="character" w:customStyle="1" w:styleId="ZZAnxtitleChar">
    <w:name w:val="ZZ_Anx_title Char"/>
    <w:link w:val="ZZAnxtitle"/>
    <w:rsid w:val="000B25F8"/>
    <w:rPr>
      <w:rFonts w:ascii="Times New Roman" w:eastAsia="Times New Roman" w:hAnsi="Times New Roman" w:cs="Times New Roman"/>
      <w:b/>
      <w:bCs/>
      <w:sz w:val="28"/>
      <w:szCs w:val="26"/>
      <w:lang w:val="en-GB"/>
    </w:rPr>
  </w:style>
  <w:style w:type="paragraph" w:customStyle="1" w:styleId="Subtitle">
    <w:name w:val="Sub title"/>
    <w:basedOn w:val="Heading2"/>
    <w:rsid w:val="000B25F8"/>
    <w:pPr>
      <w:keepLines w:val="0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0"/>
      <w:ind w:left="1247"/>
    </w:pPr>
    <w:rPr>
      <w:rFonts w:ascii="Times New Roman" w:eastAsia="Times New Roman" w:hAnsi="Times New Roman" w:cs="Times New Roman"/>
      <w:bCs w:val="0"/>
      <w:color w:val="auto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B25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ormalnumberChar">
    <w:name w:val="Normal_number Char"/>
    <w:link w:val="Normalnumber"/>
    <w:rsid w:val="00A16B8F"/>
    <w:rPr>
      <w:lang w:val="en-GB"/>
    </w:rPr>
  </w:style>
  <w:style w:type="numbering" w:customStyle="1" w:styleId="Normallist">
    <w:name w:val="Normal_list"/>
    <w:basedOn w:val="NoList"/>
    <w:rsid w:val="00A16B8F"/>
    <w:pPr>
      <w:numPr>
        <w:numId w:val="5"/>
      </w:numPr>
    </w:pPr>
  </w:style>
  <w:style w:type="paragraph" w:customStyle="1" w:styleId="Normalnumber">
    <w:name w:val="Normal_number"/>
    <w:basedOn w:val="Normal-pool"/>
    <w:link w:val="NormalnumberChar"/>
    <w:rsid w:val="00A16B8F"/>
    <w:pPr>
      <w:spacing w:after="120"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826</Words>
  <Characters>4603</Characters>
  <Application>Microsoft Office Word</Application>
  <DocSecurity>0</DocSecurity>
  <Lines>86</Lines>
  <Paragraphs>42</Paragraphs>
  <ScaleCrop>false</ScaleCrop>
  <Company>BRS</Company>
  <LinksUpToDate>false</LinksUpToDate>
  <CharactersWithSpaces>5387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cbottollier</dc:creator>
  <cp:lastModifiedBy>cbottollier</cp:lastModifiedBy>
  <cp:revision>2</cp:revision>
  <dcterms:created xsi:type="dcterms:W3CDTF">2015-09-04T14:16:00Z</dcterms:created>
  <dcterms:modified xsi:type="dcterms:W3CDTF">2015-09-04T14:16:00Z</dcterms:modified>
</cp:coreProperties>
</file>