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73A" w:rsidRPr="00C1773A" w:rsidRDefault="00C1773A" w:rsidP="00C1773A">
      <w:pPr>
        <w:ind w:left="1247" w:right="284"/>
        <w:rPr>
          <w:b/>
          <w:sz w:val="28"/>
          <w:szCs w:val="28"/>
        </w:rPr>
      </w:pPr>
      <w:r w:rsidRPr="00C1773A">
        <w:rPr>
          <w:b/>
          <w:sz w:val="28"/>
        </w:rPr>
        <w:t>РГОС-9/3: Технические руководящие принципы экологически обоснованного регулирования отходов, состоящих из стойких органических загрязнителей, содержащих их или загрязненных ими</w:t>
      </w:r>
    </w:p>
    <w:p w:rsidR="00C1773A" w:rsidRPr="00C1773A" w:rsidRDefault="00C1773A" w:rsidP="00C1773A">
      <w:pPr>
        <w:ind w:left="1247" w:firstLine="624"/>
        <w:rPr>
          <w:i/>
        </w:rPr>
      </w:pPr>
      <w:r w:rsidRPr="00C1773A">
        <w:rPr>
          <w:i/>
        </w:rPr>
        <w:t>Рабочая группа открытого состава</w:t>
      </w:r>
    </w:p>
    <w:p w:rsidR="00C1773A" w:rsidRPr="00C1773A" w:rsidRDefault="00C1773A" w:rsidP="00C1773A">
      <w:pPr>
        <w:ind w:left="1247" w:firstLine="624"/>
      </w:pPr>
      <w:r w:rsidRPr="00C1773A">
        <w:t>1.</w:t>
      </w:r>
      <w:r w:rsidRPr="00C1773A">
        <w:tab/>
      </w:r>
      <w:r w:rsidRPr="00C1773A">
        <w:rPr>
          <w:i/>
        </w:rPr>
        <w:t>приветствует</w:t>
      </w:r>
      <w:r w:rsidRPr="00C1773A">
        <w:t xml:space="preserve"> с признательностью вклад Канады, связанный с председательством в небольшой межсессионной рабочей группе, и выражает признательность ведущим странам </w:t>
      </w:r>
      <w:r w:rsidRPr="00C1773A">
        <w:rPr>
          <w:cs/>
        </w:rPr>
        <w:t xml:space="preserve">– </w:t>
      </w:r>
      <w:r w:rsidRPr="00C1773A">
        <w:t xml:space="preserve">Канаде, Китаю и Японии </w:t>
      </w:r>
      <w:r w:rsidRPr="00C1773A">
        <w:rPr>
          <w:cs/>
        </w:rPr>
        <w:t xml:space="preserve">– </w:t>
      </w:r>
      <w:r w:rsidRPr="00C1773A">
        <w:t xml:space="preserve">и ведущим организациям </w:t>
      </w:r>
      <w:r w:rsidRPr="00C1773A">
        <w:rPr>
          <w:cs/>
        </w:rPr>
        <w:t xml:space="preserve">– </w:t>
      </w:r>
      <w:r w:rsidRPr="00C1773A">
        <w:t xml:space="preserve">Программе Организации Объединенных Наций по окружающей среде, Продовольственной и сельскохозяйственной организации Объединенных Наций и небольшой межсессионной рабочей группе </w:t>
      </w:r>
      <w:r w:rsidRPr="00C1773A">
        <w:rPr>
          <w:cs/>
        </w:rPr>
        <w:t xml:space="preserve">– </w:t>
      </w:r>
      <w:r w:rsidRPr="00C1773A">
        <w:t>за их вклад в решение задач, связанных с техническими руководящими принципами экологически обоснованного регулирования стойких органических загрязнителей;</w:t>
      </w:r>
    </w:p>
    <w:p w:rsidR="00C1773A" w:rsidRPr="00C1773A" w:rsidRDefault="00C1773A" w:rsidP="00C1773A">
      <w:pPr>
        <w:ind w:left="1247" w:firstLine="624"/>
        <w:rPr>
          <w:u w:val="single"/>
        </w:rPr>
      </w:pPr>
      <w:r w:rsidRPr="00C1773A">
        <w:t>2.</w:t>
      </w:r>
      <w:r w:rsidRPr="00C1773A">
        <w:tab/>
      </w:r>
      <w:r w:rsidRPr="00C1773A">
        <w:rPr>
          <w:i/>
        </w:rPr>
        <w:t>принимает к сведению</w:t>
      </w:r>
      <w:r w:rsidRPr="00C1773A">
        <w:t xml:space="preserve"> проект технических руководящих принципов экологически обоснованного регулирования отходов, состоящих из стойких органических загрязнителей, содержащих их или загрязненных ими, подготовленный ведущими странами и ведущими организациями</w:t>
      </w:r>
      <w:r w:rsidRPr="00C1773A">
        <w:rPr>
          <w:vertAlign w:val="superscript"/>
        </w:rPr>
        <w:footnoteReference w:id="1"/>
      </w:r>
      <w:r w:rsidRPr="00C1773A">
        <w:t>;</w:t>
      </w:r>
    </w:p>
    <w:p w:rsidR="00C1773A" w:rsidRPr="00C1773A" w:rsidRDefault="00C1773A" w:rsidP="00C1773A">
      <w:pPr>
        <w:ind w:left="1247" w:firstLine="624"/>
      </w:pPr>
      <w:r w:rsidRPr="00C1773A">
        <w:t>3.</w:t>
      </w:r>
      <w:r w:rsidRPr="00C1773A">
        <w:tab/>
      </w:r>
      <w:r w:rsidRPr="00C1773A">
        <w:rPr>
          <w:i/>
        </w:rPr>
        <w:t xml:space="preserve">признает </w:t>
      </w:r>
      <w:r w:rsidRPr="00C1773A">
        <w:t>значимость</w:t>
      </w:r>
      <w:r w:rsidRPr="00C1773A">
        <w:rPr>
          <w:i/>
        </w:rPr>
        <w:t xml:space="preserve"> </w:t>
      </w:r>
      <w:r w:rsidRPr="00C1773A">
        <w:t>вспомогательного документа для разработки раздела III общих технических руководящих принципов экологически обоснованного регулирования отходов, состоящих из стойких органических загрязнителей</w:t>
      </w:r>
      <w:r w:rsidRPr="00C1773A">
        <w:rPr>
          <w:vertAlign w:val="superscript"/>
        </w:rPr>
        <w:footnoteReference w:id="2"/>
      </w:r>
      <w:r w:rsidRPr="00C1773A">
        <w:t>, содержащих их или загрязненных ими, и принимает к сведению информацию, представленную на девятом совещании Рабочей группы открытого состава</w:t>
      </w:r>
      <w:r w:rsidRPr="00C1773A">
        <w:rPr>
          <w:vertAlign w:val="superscript"/>
        </w:rPr>
        <w:footnoteReference w:id="3"/>
      </w:r>
      <w:r w:rsidRPr="00C1773A">
        <w:t>;</w:t>
      </w:r>
    </w:p>
    <w:p w:rsidR="00C1773A" w:rsidRPr="00C1773A" w:rsidRDefault="00C1773A" w:rsidP="00C1773A">
      <w:pPr>
        <w:ind w:left="1247" w:firstLine="624"/>
      </w:pPr>
      <w:r w:rsidRPr="00C1773A">
        <w:t>4.</w:t>
      </w:r>
      <w:r w:rsidRPr="00C1773A">
        <w:tab/>
      </w:r>
      <w:r w:rsidRPr="00C1773A">
        <w:rPr>
          <w:i/>
        </w:rPr>
        <w:t>принимает к сведению</w:t>
      </w:r>
      <w:r w:rsidRPr="00C1773A">
        <w:t xml:space="preserve"> следующие уровни концентрации, используемые для установления низкого содержания стойких органических загрязнителей и указанные на девятом совещании Рабочей группы открытого состава, и призывает Стороны и других субъектов представлять замечания по поводу этих уровней в секретариат до 31 октября 2014 года:</w:t>
      </w:r>
    </w:p>
    <w:p w:rsidR="00C1773A" w:rsidRPr="00C1773A" w:rsidRDefault="00C1773A" w:rsidP="00C1773A">
      <w:pPr>
        <w:ind w:left="1247" w:firstLine="624"/>
      </w:pPr>
      <w:r w:rsidRPr="00C1773A">
        <w:t>а)</w:t>
      </w:r>
      <w:r w:rsidRPr="00C1773A">
        <w:tab/>
        <w:t>эндосульфан: 50 мг/кг;</w:t>
      </w:r>
    </w:p>
    <w:p w:rsidR="00C1773A" w:rsidRPr="00C1773A" w:rsidRDefault="00C1773A" w:rsidP="00C1773A">
      <w:pPr>
        <w:ind w:left="1247" w:firstLine="624"/>
      </w:pPr>
      <w:r w:rsidRPr="00C1773A">
        <w:rPr>
          <w:lang w:val="en-US"/>
        </w:rPr>
        <w:t>b</w:t>
      </w:r>
      <w:r w:rsidRPr="00C1773A">
        <w:t>)</w:t>
      </w:r>
      <w:r w:rsidRPr="00C1773A">
        <w:tab/>
      </w:r>
      <w:proofErr w:type="gramStart"/>
      <w:r w:rsidRPr="00C1773A">
        <w:t>пентахлорбензол</w:t>
      </w:r>
      <w:proofErr w:type="gramEnd"/>
      <w:r w:rsidRPr="00C1773A">
        <w:t>: 50 мг/кг;</w:t>
      </w:r>
    </w:p>
    <w:p w:rsidR="00C1773A" w:rsidRPr="00C1773A" w:rsidRDefault="00C1773A" w:rsidP="00C1773A">
      <w:pPr>
        <w:ind w:left="1247" w:firstLine="624"/>
      </w:pPr>
      <w:r w:rsidRPr="00C1773A">
        <w:t>с)</w:t>
      </w:r>
      <w:r w:rsidRPr="00C1773A">
        <w:tab/>
        <w:t>гексабромдифенил: 50 мг/кг;</w:t>
      </w:r>
    </w:p>
    <w:p w:rsidR="00C1773A" w:rsidRPr="00C1773A" w:rsidRDefault="00C1773A" w:rsidP="00C1773A">
      <w:pPr>
        <w:ind w:left="1247" w:firstLine="624"/>
      </w:pPr>
      <w:r w:rsidRPr="00C1773A">
        <w:rPr>
          <w:lang w:val="en-US"/>
        </w:rPr>
        <w:t>d</w:t>
      </w:r>
      <w:r w:rsidRPr="00C1773A">
        <w:t>)</w:t>
      </w:r>
      <w:r w:rsidRPr="00C1773A">
        <w:tab/>
      </w:r>
      <w:proofErr w:type="gramStart"/>
      <w:r w:rsidRPr="00C1773A">
        <w:t>гексабромдифениловый</w:t>
      </w:r>
      <w:proofErr w:type="gramEnd"/>
      <w:r w:rsidRPr="00C1773A">
        <w:t xml:space="preserve"> эфир и гептабромдифениловый эфир и тетрабромдифениловый эфир и пентабромдифениловый эфир: 1000 мг/кг в сумме;</w:t>
      </w:r>
    </w:p>
    <w:p w:rsidR="00C1773A" w:rsidRPr="00C1773A" w:rsidRDefault="00C1773A" w:rsidP="00C1773A">
      <w:pPr>
        <w:ind w:left="1247" w:firstLine="624"/>
      </w:pPr>
      <w:r w:rsidRPr="00C1773A">
        <w:t>е)</w:t>
      </w:r>
      <w:r w:rsidRPr="00C1773A">
        <w:tab/>
        <w:t>перфтороктановая сульфоновая кислота, ее соли и перфтороктановый сульфонилфторид: 50 мг/кг;</w:t>
      </w:r>
    </w:p>
    <w:p w:rsidR="00C1773A" w:rsidRPr="00C1773A" w:rsidRDefault="00C1773A" w:rsidP="00C1773A">
      <w:pPr>
        <w:ind w:left="1247" w:firstLine="624"/>
      </w:pPr>
      <w:r w:rsidRPr="00C1773A">
        <w:rPr>
          <w:lang w:val="en-US"/>
        </w:rPr>
        <w:t>f</w:t>
      </w:r>
      <w:r w:rsidRPr="00C1773A">
        <w:t>)</w:t>
      </w:r>
      <w:r w:rsidRPr="00C1773A">
        <w:tab/>
      </w:r>
      <w:proofErr w:type="gramStart"/>
      <w:r w:rsidRPr="00C1773A">
        <w:t>гексабромциклододекан</w:t>
      </w:r>
      <w:proofErr w:type="gramEnd"/>
      <w:r w:rsidRPr="00C1773A">
        <w:t>: 100 мг/кг и 1000 мг/кг;</w:t>
      </w:r>
    </w:p>
    <w:p w:rsidR="00C1773A" w:rsidRPr="00C1773A" w:rsidRDefault="00C1773A" w:rsidP="00C1773A">
      <w:pPr>
        <w:ind w:left="1247" w:firstLine="624"/>
      </w:pPr>
      <w:r w:rsidRPr="00C1773A">
        <w:t>5.</w:t>
      </w:r>
      <w:r w:rsidRPr="00C1773A">
        <w:tab/>
      </w:r>
      <w:r w:rsidRPr="00C1773A">
        <w:rPr>
          <w:i/>
        </w:rPr>
        <w:t>предлагает</w:t>
      </w:r>
      <w:r w:rsidRPr="00C1773A">
        <w:t xml:space="preserve"> ведущим странам и ведущим организациям рассмотреть замечания, полученные в соответствии с пунктом 4 выше, и замечания, представленные на девятом совещании Рабочей группы открытого состава, а также продолжить работу по пересмотру упомянутого в пункте 2 выше проекта руководящих принципов до 27 ноября 2014 года для размещения на веб-сайте Базельской конвенции о контроле за трансграничной перевозкой опасных отходов и их удалением и просит секретариат направить пересмотренный проект на перевод с английского на пять официальных языков Организации Объединенных Наций для рассмотрения Конференцией Сторон на ее двенадцатом совещании;</w:t>
      </w:r>
    </w:p>
    <w:p w:rsidR="00C1773A" w:rsidRPr="00C1773A" w:rsidRDefault="00C1773A" w:rsidP="00C1773A">
      <w:pPr>
        <w:ind w:left="1247" w:firstLine="624"/>
      </w:pPr>
      <w:r w:rsidRPr="00C1773A">
        <w:lastRenderedPageBreak/>
        <w:t>6.</w:t>
      </w:r>
      <w:r w:rsidRPr="00C1773A">
        <w:tab/>
      </w:r>
      <w:r w:rsidRPr="00C1773A">
        <w:rPr>
          <w:i/>
        </w:rPr>
        <w:t xml:space="preserve">предлагает </w:t>
      </w:r>
      <w:r w:rsidRPr="00C1773A">
        <w:t>Продовольственной и сельскохозяйственной организации Объединенных Наций подготовить к 27 ноября 2014 года обновленный проект технических руководящих принципов экологически обоснованного регулирования отходов, состоящих из пестицидов, содержащих их или загрязненных ими, с учетом замечаний, полученных ранее от Сторон и других субъектов, для размещения на веб-сайте Базельской конвенции и просит секретариат направить пересмотренный проект на перевод с английского на пять официальных языков Организации Объединенных Наций для рассмотрения Конференцией Сторон на ее двенадцатом совещании;</w:t>
      </w:r>
    </w:p>
    <w:p w:rsidR="00C1773A" w:rsidRPr="00C1773A" w:rsidRDefault="00C1773A" w:rsidP="00C1773A">
      <w:pPr>
        <w:ind w:left="1247" w:firstLine="624"/>
      </w:pPr>
      <w:r w:rsidRPr="00C1773A">
        <w:t>7.</w:t>
      </w:r>
      <w:r w:rsidRPr="00C1773A">
        <w:tab/>
      </w:r>
      <w:r w:rsidRPr="00C1773A">
        <w:rPr>
          <w:i/>
        </w:rPr>
        <w:t>предлагает</w:t>
      </w:r>
      <w:r w:rsidRPr="00C1773A">
        <w:t xml:space="preserve"> Сторонам и другим субъектам представить в секретариат к 23 января 2015 года замечания по поводу пересмотренного проекта руководящих принципов, упомянутого в пунктах 5 и 6 выше;</w:t>
      </w:r>
    </w:p>
    <w:p w:rsidR="00C1773A" w:rsidRPr="00C1773A" w:rsidRDefault="00C1773A" w:rsidP="00C1773A">
      <w:pPr>
        <w:ind w:left="1247" w:firstLine="624"/>
      </w:pPr>
      <w:r w:rsidRPr="00C1773A">
        <w:t>8.</w:t>
      </w:r>
      <w:r w:rsidRPr="00C1773A">
        <w:tab/>
      </w:r>
      <w:r w:rsidRPr="00C1773A">
        <w:rPr>
          <w:i/>
        </w:rPr>
        <w:t>предлагает</w:t>
      </w:r>
      <w:r w:rsidRPr="00C1773A">
        <w:t xml:space="preserve"> ведущим странам и ведущим организациям подготовить к 6 марта 2015 года на основе консультаций с небольшой межсессионной рабочей группой новые пересмотренные проекты упомянутого в пунктах 5 и 6 выше проекта технических руководящих принципов для размещения на веб-сайте Базельской конвенции и просит секретариат распространить их в качестве информационных документов для двенадцатого совещания Конференции Сторон Базельской конвенции;</w:t>
      </w:r>
    </w:p>
    <w:p w:rsidR="00C1773A" w:rsidRPr="00C1773A" w:rsidRDefault="00C1773A" w:rsidP="00C1773A">
      <w:pPr>
        <w:ind w:left="1247" w:firstLine="624"/>
      </w:pPr>
      <w:r w:rsidRPr="00C1773A">
        <w:t>9.</w:t>
      </w:r>
      <w:r w:rsidRPr="00C1773A">
        <w:tab/>
      </w:r>
      <w:r w:rsidRPr="00C1773A">
        <w:rPr>
          <w:i/>
        </w:rPr>
        <w:t>предлагает</w:t>
      </w:r>
      <w:r w:rsidRPr="00C1773A">
        <w:t xml:space="preserve"> Сторонам и другим субъектам представить к 10 апреля 2015 года замечания по новому пересмотренному проекту технических руководящих принципов, размещенному на веб-сайте Базельской конвенции, и просит секретариат составить подборку полученных замечаний для информации и разместить их на веб-сайте Базельской конвенции;</w:t>
      </w:r>
    </w:p>
    <w:p w:rsidR="00C1773A" w:rsidRPr="00C1773A" w:rsidRDefault="00C1773A" w:rsidP="00C1773A">
      <w:pPr>
        <w:ind w:left="1247" w:firstLine="624"/>
      </w:pPr>
      <w:r w:rsidRPr="00C1773A">
        <w:t>10.</w:t>
      </w:r>
      <w:r w:rsidRPr="00C1773A">
        <w:tab/>
      </w:r>
      <w:r w:rsidRPr="00C1773A">
        <w:rPr>
          <w:i/>
        </w:rPr>
        <w:t>признает</w:t>
      </w:r>
      <w:r w:rsidRPr="00C1773A">
        <w:t xml:space="preserve"> значение декабромдифенилового эфира в качестве прекурсора пентабромдифенилового эфира и октабромдифенилового эфира и рекомендует Конференции Сторон на ее двенадцатом совещании рассмотреть возможность определения и включения работы, связанной с декабромдифениловым эфиром, в программу работы Рабочей группы открытого состава на 2016</w:t>
      </w:r>
      <w:r w:rsidRPr="00C1773A">
        <w:rPr>
          <w:cs/>
        </w:rPr>
        <w:t>–</w:t>
      </w:r>
      <w:r w:rsidRPr="00C1773A">
        <w:t>2017 годы, принимая во внимание работу, проделанную в рамках Стокгольмской конвенции о стойких органических загрязнителях, и предлагая Сторонам рассмотреть возможность выполнения функции ведущей страны в рамках такой работы;</w:t>
      </w:r>
    </w:p>
    <w:p w:rsidR="00C1773A" w:rsidRPr="00C1773A" w:rsidRDefault="00C1773A" w:rsidP="00C1773A">
      <w:pPr>
        <w:ind w:left="1247" w:firstLine="624"/>
      </w:pPr>
      <w:r w:rsidRPr="00C1773A">
        <w:t>11.</w:t>
      </w:r>
      <w:r w:rsidRPr="00C1773A">
        <w:tab/>
      </w:r>
      <w:r w:rsidRPr="00C1773A">
        <w:rPr>
          <w:i/>
        </w:rPr>
        <w:t>признает</w:t>
      </w:r>
      <w:r w:rsidRPr="00C1773A">
        <w:t xml:space="preserve"> </w:t>
      </w:r>
      <w:r w:rsidRPr="00C1773A">
        <w:rPr>
          <w:i/>
        </w:rPr>
        <w:t>также</w:t>
      </w:r>
      <w:r w:rsidRPr="00C1773A">
        <w:t xml:space="preserve"> необходимость разъяснить вопрос о применимости Базельской конвенции к отходам, состоящим из полибромированных дифениловых эфиров, содержащим их или загрязненным ими, и рекомендует Конференции Сторон на ее двенадцатом совещании рассмотреть возможность включения работы по толкованию перечня А3180 приложения VIII к Базельской конвенции в программу работы Рабочей группы открытого состава на 2016</w:t>
      </w:r>
      <w:r w:rsidRPr="00C1773A">
        <w:rPr>
          <w:cs/>
        </w:rPr>
        <w:noBreakHyphen/>
      </w:r>
      <w:r w:rsidRPr="00C1773A">
        <w:t>2017 годы;</w:t>
      </w:r>
    </w:p>
    <w:p w:rsidR="00C1773A" w:rsidRPr="00C1773A" w:rsidRDefault="00C1773A" w:rsidP="00C1773A">
      <w:pPr>
        <w:ind w:left="1247" w:firstLine="624"/>
      </w:pPr>
      <w:r w:rsidRPr="00C1773A">
        <w:t>12.</w:t>
      </w:r>
      <w:r w:rsidRPr="00C1773A">
        <w:tab/>
      </w:r>
      <w:r w:rsidRPr="00C1773A">
        <w:rPr>
          <w:i/>
        </w:rPr>
        <w:t>просит</w:t>
      </w:r>
      <w:r w:rsidRPr="00C1773A">
        <w:t xml:space="preserve"> секретариат направить секретариату Стокгольмской конвенции замечания Рабочей группы открытого состава</w:t>
      </w:r>
      <w:r w:rsidRPr="00C1773A">
        <w:rPr>
          <w:vertAlign w:val="superscript"/>
        </w:rPr>
        <w:footnoteReference w:id="4"/>
      </w:r>
      <w:r w:rsidRPr="00C1773A">
        <w:t xml:space="preserve"> в отношении четырех проектов руководящих документов Стокгольмской конвенции</w:t>
      </w:r>
      <w:r w:rsidRPr="00C1773A">
        <w:rPr>
          <w:vertAlign w:val="superscript"/>
        </w:rPr>
        <w:footnoteReference w:id="5"/>
      </w:r>
      <w:r w:rsidRPr="00C1773A">
        <w:t xml:space="preserve"> не позднее 31 октября 2014 года в соответствии с просьбой, содержащейся в пункте 9 b) решения БК-11/3;</w:t>
      </w:r>
    </w:p>
    <w:p w:rsidR="006C2D58" w:rsidRPr="00C1773A" w:rsidRDefault="00C1773A" w:rsidP="00C1773A">
      <w:pPr>
        <w:spacing w:after="240"/>
        <w:ind w:left="1247" w:firstLine="624"/>
      </w:pPr>
      <w:r w:rsidRPr="00C1773A">
        <w:t>13.</w:t>
      </w:r>
      <w:r w:rsidRPr="00C1773A">
        <w:tab/>
      </w:r>
      <w:r w:rsidRPr="00C1773A">
        <w:rPr>
          <w:i/>
        </w:rPr>
        <w:t xml:space="preserve">просит </w:t>
      </w:r>
      <w:r w:rsidRPr="00C1773A">
        <w:t>секретариат проинформировать соответствующие органы Стокгольмской конвенции о проделанной Рабочей группой открытого состава работе в отношении технических руководящих принципов, касающихся стойких органических загрязнителей.</w:t>
      </w:r>
    </w:p>
    <w:sectPr w:rsidR="006C2D58" w:rsidRPr="00C1773A" w:rsidSect="006C2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70A" w:rsidRDefault="0055770A" w:rsidP="0055770A">
      <w:pPr>
        <w:spacing w:after="0"/>
      </w:pPr>
      <w:r>
        <w:separator/>
      </w:r>
    </w:p>
  </w:endnote>
  <w:endnote w:type="continuationSeparator" w:id="0">
    <w:p w:rsidR="0055770A" w:rsidRDefault="0055770A" w:rsidP="005577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70A" w:rsidRDefault="0055770A" w:rsidP="0055770A">
      <w:pPr>
        <w:spacing w:after="0"/>
      </w:pPr>
      <w:r>
        <w:separator/>
      </w:r>
    </w:p>
  </w:footnote>
  <w:footnote w:type="continuationSeparator" w:id="0">
    <w:p w:rsidR="0055770A" w:rsidRDefault="0055770A" w:rsidP="0055770A">
      <w:pPr>
        <w:spacing w:after="0"/>
      </w:pPr>
      <w:r>
        <w:continuationSeparator/>
      </w:r>
    </w:p>
  </w:footnote>
  <w:footnote w:id="1">
    <w:p w:rsidR="00C1773A" w:rsidRPr="005C7D74" w:rsidRDefault="00C1773A" w:rsidP="00C1773A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5C7D74">
        <w:rPr>
          <w:rStyle w:val="FootnoteReference"/>
          <w:sz w:val="18"/>
          <w:szCs w:val="18"/>
        </w:rPr>
        <w:footnoteRef/>
      </w:r>
      <w:r w:rsidRPr="005C7D74">
        <w:rPr>
          <w:rStyle w:val="FootnoteText"/>
          <w:sz w:val="18"/>
          <w:szCs w:val="18"/>
          <w:lang w:val="en-US"/>
        </w:rPr>
        <w:tab/>
      </w:r>
      <w:proofErr w:type="gramStart"/>
      <w:r w:rsidRPr="005C7D74">
        <w:rPr>
          <w:rStyle w:val="FootnoteText"/>
          <w:sz w:val="18"/>
          <w:szCs w:val="18"/>
          <w:lang w:val="en-US"/>
        </w:rPr>
        <w:t>UNEP/CHW/OEWG.9/INF/9</w:t>
      </w:r>
      <w:r w:rsidRPr="005C7D74">
        <w:rPr>
          <w:rStyle w:val="FootnoteText"/>
          <w:sz w:val="18"/>
          <w:szCs w:val="18"/>
          <w:cs/>
        </w:rPr>
        <w:t>–</w:t>
      </w:r>
      <w:r w:rsidRPr="005C7D74">
        <w:rPr>
          <w:rStyle w:val="FootnoteText"/>
          <w:sz w:val="18"/>
          <w:szCs w:val="18"/>
          <w:lang w:val="en-US"/>
        </w:rPr>
        <w:t xml:space="preserve">13 </w:t>
      </w:r>
      <w:r w:rsidRPr="005C7D74">
        <w:rPr>
          <w:rStyle w:val="FootnoteText"/>
          <w:sz w:val="18"/>
          <w:szCs w:val="18"/>
        </w:rPr>
        <w:t>и</w:t>
      </w:r>
      <w:r w:rsidRPr="005C7D74">
        <w:rPr>
          <w:rStyle w:val="FootnoteText"/>
          <w:sz w:val="18"/>
          <w:szCs w:val="18"/>
          <w:lang w:val="en-US"/>
        </w:rPr>
        <w:t xml:space="preserve"> INF/23.</w:t>
      </w:r>
      <w:proofErr w:type="gramEnd"/>
    </w:p>
  </w:footnote>
  <w:footnote w:id="2">
    <w:p w:rsidR="00C1773A" w:rsidRPr="005C7D74" w:rsidRDefault="00C1773A" w:rsidP="00C1773A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5C7D74">
        <w:rPr>
          <w:rStyle w:val="FootnoteReference"/>
          <w:sz w:val="18"/>
          <w:szCs w:val="18"/>
        </w:rPr>
        <w:footnoteRef/>
      </w:r>
      <w:r w:rsidRPr="005C7D74">
        <w:rPr>
          <w:rStyle w:val="FootnoteText"/>
          <w:sz w:val="18"/>
          <w:szCs w:val="18"/>
          <w:lang w:val="en-US"/>
        </w:rPr>
        <w:tab/>
        <w:t>UNEP/CHW/OEWG.9/INF/9/Add.1.</w:t>
      </w:r>
    </w:p>
  </w:footnote>
  <w:footnote w:id="3">
    <w:p w:rsidR="00C1773A" w:rsidRPr="005C7D74" w:rsidRDefault="00C1773A" w:rsidP="00C1773A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5C7D74">
        <w:rPr>
          <w:rStyle w:val="FootnoteReference"/>
          <w:sz w:val="18"/>
          <w:szCs w:val="18"/>
        </w:rPr>
        <w:footnoteRef/>
      </w:r>
      <w:r w:rsidRPr="005C7D74">
        <w:rPr>
          <w:rStyle w:val="FootnoteText"/>
          <w:sz w:val="18"/>
          <w:szCs w:val="18"/>
          <w:lang w:val="en-US"/>
        </w:rPr>
        <w:tab/>
        <w:t>UNEP/CHW/OEWG.9/INF/9/Add.2.</w:t>
      </w:r>
    </w:p>
  </w:footnote>
  <w:footnote w:id="4">
    <w:p w:rsidR="00C1773A" w:rsidRPr="00A15795" w:rsidRDefault="00C1773A" w:rsidP="00C1773A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A15795">
        <w:rPr>
          <w:rStyle w:val="FootnoteReference"/>
          <w:sz w:val="18"/>
          <w:szCs w:val="18"/>
        </w:rPr>
        <w:footnoteRef/>
      </w:r>
      <w:r w:rsidRPr="00A15795">
        <w:rPr>
          <w:rStyle w:val="FootnoteText"/>
          <w:sz w:val="18"/>
          <w:szCs w:val="18"/>
          <w:lang w:val="en-US"/>
        </w:rPr>
        <w:tab/>
        <w:t>UNEP/CHW/OEWG.9/INF/30/Rev.1.</w:t>
      </w:r>
    </w:p>
  </w:footnote>
  <w:footnote w:id="5">
    <w:p w:rsidR="00C1773A" w:rsidRPr="00A15795" w:rsidRDefault="00C1773A" w:rsidP="00C1773A">
      <w:pPr>
        <w:pStyle w:val="FootnoteText"/>
        <w:spacing w:before="20" w:after="40"/>
        <w:ind w:left="1247"/>
        <w:rPr>
          <w:sz w:val="18"/>
          <w:szCs w:val="18"/>
        </w:rPr>
      </w:pPr>
      <w:r w:rsidRPr="00A15795">
        <w:rPr>
          <w:rStyle w:val="FootnoteReference"/>
          <w:sz w:val="18"/>
          <w:szCs w:val="18"/>
        </w:rPr>
        <w:footnoteRef/>
      </w:r>
      <w:r w:rsidRPr="00A15795">
        <w:rPr>
          <w:rStyle w:val="FootnoteText"/>
          <w:sz w:val="18"/>
          <w:szCs w:val="18"/>
        </w:rPr>
        <w:tab/>
      </w:r>
      <w:r w:rsidRPr="00A15795">
        <w:rPr>
          <w:rStyle w:val="FootnoteText"/>
          <w:sz w:val="18"/>
          <w:szCs w:val="18"/>
        </w:rPr>
        <w:t>Проект руководящего документа по кадастру перфтороктановой сульфоновой кислоты и соответствующих химических веществ, указанных в Стокгольмской конвенции (2012 год), проект руководства по кадастру полибромированных дифениловых эфиров, указанных в Стокгольмской конвенции (2012 год), проект руководства по наилучшим имеющимся методам и наилучшим видам природоохранной деятельности при использовании перфтороктановой сульфоновой кислоты и соответствующих химических веществ, указанных в Стокгольмской конвенции (2012 год), и проект руководства по наилучшим имеющимся методам и наилучшим видам природоохранной деятельности для рециркуляции и удаления отходов продуктов, содержащих полибромированные дифениловые эфиры, указанные в Стокгольмской конвенции (2012 год).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A21"/>
    <w:rsid w:val="00433A21"/>
    <w:rsid w:val="0055770A"/>
    <w:rsid w:val="006C2D58"/>
    <w:rsid w:val="008643BF"/>
    <w:rsid w:val="00B466E6"/>
    <w:rsid w:val="00C1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A2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Geneva 9,Font: Geneva 9,Boston 10,f,fn,Footnotes,ft,fn cafc,Footnote ak,fn Char,footnote text Char,Footnotes Char,Footnote ak Char,footnote citation,Footnotes Char Char,Footnote Text Char Char,fn Char Char,ft Char,fn cafc Char,DNV-FT,text,92"/>
    <w:basedOn w:val="Normal"/>
    <w:link w:val="FootnoteTextChar"/>
    <w:rsid w:val="0055770A"/>
    <w:rPr>
      <w:lang/>
    </w:rPr>
  </w:style>
  <w:style w:type="character" w:customStyle="1" w:styleId="FootnoteTextChar">
    <w:name w:val="Footnote Text Char"/>
    <w:aliases w:val="Geneva 9 Char,Font: Geneva 9 Char,Boston 10 Char,f Char,DNV-FT Char,footnote3 Char,text Char,Geneva Char,92 Char,Font: Char,Boston Char,10 Char,FOOTNOTES Char,single space Char,Footnote Text Rail EIS Char"/>
    <w:basedOn w:val="DefaultParagraphFont"/>
    <w:link w:val="FootnoteText"/>
    <w:rsid w:val="0055770A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55770A"/>
    <w:rPr>
      <w:rFonts w:ascii="Times New Roman" w:hAnsi="Times New Roman"/>
      <w:noProof w:val="0"/>
      <w:sz w:val="22"/>
      <w:vertAlign w:val="superscript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867</Words>
  <Characters>4947</Characters>
  <Application>Microsoft Office Word</Application>
  <DocSecurity>0</DocSecurity>
  <Lines>41</Lines>
  <Paragraphs>11</Paragraphs>
  <ScaleCrop>false</ScaleCrop>
  <Company>BRS</Company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cp:lastPrinted>2015-09-04T15:46:00Z</cp:lastPrinted>
  <dcterms:created xsi:type="dcterms:W3CDTF">2015-09-04T15:46:00Z</dcterms:created>
  <dcterms:modified xsi:type="dcterms:W3CDTF">2015-09-04T15:46:00Z</dcterms:modified>
</cp:coreProperties>
</file>