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74A" w:rsidRPr="0092574A" w:rsidRDefault="0092574A" w:rsidP="0092574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47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92574A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OEWG</w:t>
      </w:r>
      <w:r w:rsidRPr="0092574A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noBreakHyphen/>
        <w:t>9/3: Directrices técnicas para la gestión ambientalmente racional de los desechos consistentes en contaminantes orgánicos persistentes, que los contengan o estén contaminados con ellos</w:t>
      </w:r>
    </w:p>
    <w:p w:rsidR="0092574A" w:rsidRPr="0092574A" w:rsidRDefault="0092574A" w:rsidP="0092574A">
      <w:p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8" w:firstLine="624"/>
        <w:rPr>
          <w:rFonts w:ascii="Times New Roman" w:eastAsia="Times New Roman" w:hAnsi="Times New Roman" w:cs="Times New Roman"/>
          <w:i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>El Grupo de Trabajo de composición abierta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0" w:firstLine="630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Acoge con aprecio </w:t>
      </w: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la contribución del Canadá al presidir el pequeño grupo de trabajo entre reuniones y expresa su agradecimiento a los países encargados (Canadá, China y Japón), las organizaciones encargadas (Programa de las Naciones Unidas para el Medio Ambiente y Organización de las Naciones Unidas para la Alimentación y la Agricultura) y el pequeño grupo de trabajo entre reuniones por sus contribuciones a las tareas relacionadas con las directrices técnicas para la gestión ambientalmente racional de los contaminantes orgánicos persistentes;</w:t>
      </w:r>
      <w:r w:rsidRPr="0092574A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 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u w:val="single"/>
          <w:vertAlign w:val="superscript"/>
          <w:lang w:val="es-ES"/>
        </w:rPr>
      </w:pPr>
      <w:r w:rsidRPr="0092574A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 xml:space="preserve">Toma nota </w:t>
      </w:r>
      <w:r w:rsidRPr="0092574A">
        <w:rPr>
          <w:rFonts w:ascii="Times New Roman" w:eastAsia="Times New Roman" w:hAnsi="Times New Roman" w:cs="Times New Roman"/>
          <w:iCs/>
          <w:sz w:val="20"/>
          <w:szCs w:val="20"/>
          <w:lang w:val="es-ES"/>
        </w:rPr>
        <w:t>del proyecto de directrices técnicas para la gestión ambientalmente racional de los desechos consistentes en contaminantes orgánicos persistentes, que los contengan o estén contaminados con ellos, preparado por los países encargados y las organizaciones encargadas</w:t>
      </w:r>
      <w:r w:rsidRPr="0092574A">
        <w:rPr>
          <w:rFonts w:ascii="Times New Roman" w:eastAsia="Times New Roman" w:hAnsi="Times New Roman" w:cs="Times New Roman"/>
          <w:sz w:val="20"/>
          <w:szCs w:val="24"/>
          <w:vertAlign w:val="superscript"/>
          <w:lang w:val="es-ES"/>
        </w:rPr>
        <w:footnoteReference w:id="1"/>
      </w:r>
      <w:r w:rsidRPr="0092574A">
        <w:rPr>
          <w:rFonts w:ascii="Times New Roman" w:eastAsia="Times New Roman" w:hAnsi="Times New Roman" w:cs="Times New Roman"/>
          <w:iCs/>
          <w:sz w:val="20"/>
          <w:szCs w:val="20"/>
          <w:lang w:val="es-ES"/>
        </w:rPr>
        <w:t>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Reconoce </w:t>
      </w: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el documento justificativo para la elaboración de la sección III de las directrices técnicas generales para la gestión ambientalmente racional de los desechos consistentes en contaminantes orgánicos persistentes, que los contengan o estén contaminados con ellos</w:t>
      </w:r>
      <w:r w:rsidRPr="0092574A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2"/>
      </w: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, y toma nota de la información facilitada en la novena reunión del Grupo de Trabajo de composición abierta</w:t>
      </w:r>
      <w:r w:rsidRPr="0092574A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3"/>
      </w: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Toma nota </w:t>
      </w: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de los siguientes niveles de concentración para definir el bajo contenido de contaminantes orgánicos persistentes señalados en la novena reunión del Grupo de Trabajo de composición abierta e invita a las Partes y otros interesados a formular observaciones a la Secretaría acerca de esos niveles antes del 31 de octubre de 2014: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Endosulfán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 50 mg/kg;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Pentaclorobenzeno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 50 mg/kg;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Hexabromobifenilo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 50 mg/kg;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hexabromodifenilo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más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heptabromodifenilo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más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tetrabromodifenilo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más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pentabromodifenilo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 1.000 mg/kg, entendidos como una suma;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Ácido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perfluorooctano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sulfónico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, sus sales y fluoruro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perfluorooctano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sulfonilo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 50 mg/kg;</w:t>
      </w:r>
    </w:p>
    <w:p w:rsidR="0092574A" w:rsidRPr="0092574A" w:rsidRDefault="0092574A" w:rsidP="0092574A">
      <w:pPr>
        <w:numPr>
          <w:ilvl w:val="1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Hexabromociclododecano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0"/>
          <w:lang w:val="es-ES"/>
        </w:rPr>
        <w:t>: 100 mg/kg y 1.000 mg/kg;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Invita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a los países encargados y las organizaciones encargadas a examinar las observaciones recibidas en virtud del párrafo 4 de la presente decisión y las observaciones formuladas en la novena reunión del Grupo de Trabajo de composición abierta, y a seguir revisando el proyecto de directrices mencionado en el párrafo 2 de la presente decisión hasta el 27 de noviembre de 2014 a más tardar, para su publicación en el sitio web del Convenio de Basilea sobre el control de los movimientos transfronterizos de los desechos peligrosos y su eliminación, y solicita a la Secretaría que transmita los proyectos revisados para que se traduzcan del inglés a los otros cinco idiomas oficiales de las Naciones Unidas para su examen por la Conferencia de las Partes en su 12ª reunión;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42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Invita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a la Organización de las Naciones Unidas para la Alimentación y la Agricultura a que prepare, el 27 de noviembre de 2014 a más tardar, un proyecto actualizado de directrices técnicas para la gestión ambientalmente racional de los desechos consistentes en plaguicidas, que los contengan o estén contaminados con ellos, teniendo en cuenta las observaciones formuladas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lastRenderedPageBreak/>
        <w:t>previamente por las Partes y otros interesados, para su publicación en el sitio web del convenio de Basilea, y solicita a la Secretaría que transmita el proyecto revisado para que se traduzca del inglés a los otros cinco idiomas oficiales de las Naciones Unidas para su examen por la Conferencia de las Partes en su 12ª reunión;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Invita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a las Partes y otros interesados a que remitan a la Secretaría, el 23 de enero de 2015 a más tardar, observaciones sobre la versión revisada de los proyectos de directrices a que se hace referencia en los párrafos 5 y 6 de la presente decisión;</w:t>
      </w: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 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Invita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a los países encargados y las organizaciones encargadas a que, en consulta con el pequeño grupo de trabajo entre reuniones, elaboren nuevas versiones revisadas de los proyectos de directrices técnicas mencionados en los párrafos 5 y 6 de la presente decisión, el 6 de marzo de 2015 a más tardar, para su publicación en el sitio web del Convenio de Basilea, y solicita a la Secretaría que los distribuya como documentos de información para la 12ª reunión de la Conferencia de las Partes en el Convenio de Basilea;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 w:rsidDel="00AD5BF9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>Invita</w:t>
      </w:r>
      <w:r w:rsidRPr="0092574A" w:rsidDel="00AD5BF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a las Partes y otros interesados a que, el 10 de abril de 2015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a más tardar</w:t>
      </w:r>
      <w:r w:rsidRPr="0092574A" w:rsidDel="00AD5BF9">
        <w:rPr>
          <w:rFonts w:ascii="Times New Roman" w:eastAsia="Times New Roman" w:hAnsi="Times New Roman" w:cs="Times New Roman"/>
          <w:sz w:val="20"/>
          <w:szCs w:val="24"/>
          <w:lang w:val="es-ES"/>
        </w:rPr>
        <w:t>, formulen observaciones sobre el nuevo proyecto de directrices técnicas publicado en el sitio web de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l </w:t>
      </w:r>
      <w:r w:rsidRPr="0092574A" w:rsidDel="00AD5BF9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Convenio de Basilea y solicita a la Secretaría que recopile las observaciones recibidas con fines informativos y las publique en el sitio web del Convenio de Basilea; 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Reconoce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la importancia del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decabromodifenilo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como precursor del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pentabromodifenilo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y del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octabromodifenilo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y recomienda a la Conferencia de las Partes que, en su 12ª reunión, considere la posibilidad de especificar e incluir la labor relacionada con el éter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decabromodifenilo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en el programa de trabajo del Grupo de Trabajo de composición abierta para 2016‒2017, teniendo en cuenta las labores realizadas en el marco del Convenio de Estocolmo sobre contaminantes orgánicos persistentes, e invita a las Partes a contemplar la posibilidad de actuar como país encargado de esa labor;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>Reconoce también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la necesidad de aclarar la aplicabilidad del Convenio de Basilea a los desechos consistentes en éteres de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difenilo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</w:t>
      </w:r>
      <w:proofErr w:type="spellStart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polibromados</w:t>
      </w:r>
      <w:proofErr w:type="spellEnd"/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, que los contengan o estén contaminados con ellos, y recomienda a la Conferencia de las Partes que, en su 12ª reunión, considere la posibilidad de incluir la labor relativa a la interpretación de la entrada A3180 del anexo VIII del Convenio de Basilea en el programa de trabajo del Grupo de Trabajo de composición abierta para 2016‒2017;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Solicita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a la Secretaría que transmita a la Secretaría del Convenio de Estocolmo, a más tardar el 31 de octubre de 2014, las observaciones formuladas por el Grupo de Trabajo de composición abierta</w:t>
      </w:r>
      <w:r w:rsidRPr="0092574A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4"/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 xml:space="preserve"> sobre cuatro proyectos de documentos de orientación del Convenio de Estocolmo</w:t>
      </w:r>
      <w:r w:rsidRPr="0092574A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5"/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, según se solicita en el párrafo 9 b) de la decisión BC‒11/3;</w:t>
      </w:r>
    </w:p>
    <w:p w:rsidR="0092574A" w:rsidRPr="0092574A" w:rsidRDefault="0092574A" w:rsidP="0092574A">
      <w:pPr>
        <w:numPr>
          <w:ilvl w:val="0"/>
          <w:numId w:val="7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4"/>
          <w:lang w:val="es-ES"/>
        </w:rPr>
      </w:pPr>
      <w:r w:rsidRPr="0092574A">
        <w:rPr>
          <w:rFonts w:ascii="Times New Roman" w:eastAsia="Times New Roman" w:hAnsi="Times New Roman" w:cs="Times New Roman"/>
          <w:i/>
          <w:sz w:val="20"/>
          <w:szCs w:val="24"/>
          <w:lang w:val="es-ES"/>
        </w:rPr>
        <w:t xml:space="preserve">Solicita también </w:t>
      </w:r>
      <w:r w:rsidRPr="0092574A">
        <w:rPr>
          <w:rFonts w:ascii="Times New Roman" w:eastAsia="Times New Roman" w:hAnsi="Times New Roman" w:cs="Times New Roman"/>
          <w:sz w:val="20"/>
          <w:szCs w:val="24"/>
          <w:lang w:val="es-ES"/>
        </w:rPr>
        <w:t>a la Secretaría que informe a los órganos pertinentes del Convenio de Estocolmo sobre la labor realizada por el Grupo de Trabajo de composición abierta en relación con las directrices técnicas sobre contaminantes orgánicos persistentes.</w:t>
      </w:r>
    </w:p>
    <w:p w:rsidR="007F6528" w:rsidRPr="0092574A" w:rsidRDefault="007F6528" w:rsidP="0092574A"/>
    <w:sectPr w:rsidR="007F6528" w:rsidRPr="0092574A" w:rsidSect="007F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B5" w:rsidRDefault="007833B5" w:rsidP="007833B5">
      <w:pPr>
        <w:spacing w:after="0" w:line="240" w:lineRule="auto"/>
      </w:pPr>
      <w:r>
        <w:separator/>
      </w:r>
    </w:p>
  </w:endnote>
  <w:endnote w:type="continuationSeparator" w:id="0">
    <w:p w:rsidR="007833B5" w:rsidRDefault="007833B5" w:rsidP="00783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B5" w:rsidRDefault="007833B5" w:rsidP="007833B5">
      <w:pPr>
        <w:spacing w:after="0" w:line="240" w:lineRule="auto"/>
      </w:pPr>
      <w:r>
        <w:separator/>
      </w:r>
    </w:p>
  </w:footnote>
  <w:footnote w:type="continuationSeparator" w:id="0">
    <w:p w:rsidR="007833B5" w:rsidRDefault="007833B5" w:rsidP="007833B5">
      <w:pPr>
        <w:spacing w:after="0" w:line="240" w:lineRule="auto"/>
      </w:pPr>
      <w:r>
        <w:continuationSeparator/>
      </w:r>
    </w:p>
  </w:footnote>
  <w:footnote w:id="1">
    <w:p w:rsidR="0092574A" w:rsidRPr="00C6610E" w:rsidRDefault="0092574A" w:rsidP="0092574A">
      <w:pPr>
        <w:pStyle w:val="FootnoteText"/>
        <w:rPr>
          <w:szCs w:val="18"/>
        </w:rPr>
      </w:pPr>
      <w:r w:rsidRPr="00490B24">
        <w:rPr>
          <w:rStyle w:val="FootnoteReference"/>
          <w:sz w:val="18"/>
          <w:lang w:val="es-ES"/>
        </w:rPr>
        <w:footnoteRef/>
      </w:r>
      <w:r w:rsidRPr="00C6610E">
        <w:t xml:space="preserve"> </w:t>
      </w:r>
      <w:r w:rsidRPr="00C6610E">
        <w:rPr>
          <w:szCs w:val="18"/>
        </w:rPr>
        <w:t xml:space="preserve">UNEP/CHW/OEWG.9/INF/9 a 13 e INF/23. </w:t>
      </w:r>
    </w:p>
  </w:footnote>
  <w:footnote w:id="2">
    <w:p w:rsidR="0092574A" w:rsidRPr="00C6610E" w:rsidRDefault="0092574A" w:rsidP="0092574A">
      <w:pPr>
        <w:pStyle w:val="FootnoteText"/>
        <w:rPr>
          <w:szCs w:val="18"/>
        </w:rPr>
      </w:pPr>
      <w:r w:rsidRPr="00490B24">
        <w:rPr>
          <w:rStyle w:val="FootnoteReference"/>
          <w:sz w:val="18"/>
          <w:lang w:val="es-ES"/>
        </w:rPr>
        <w:footnoteRef/>
      </w:r>
      <w:r w:rsidRPr="00C6610E">
        <w:t xml:space="preserve"> </w:t>
      </w:r>
      <w:r w:rsidRPr="00C6610E">
        <w:rPr>
          <w:szCs w:val="18"/>
        </w:rPr>
        <w:t xml:space="preserve">UNEP/CHW/OEWG.9/INF/9/Add.1. </w:t>
      </w:r>
    </w:p>
  </w:footnote>
  <w:footnote w:id="3">
    <w:p w:rsidR="0092574A" w:rsidRPr="00C6610E" w:rsidRDefault="0092574A" w:rsidP="0092574A">
      <w:pPr>
        <w:pStyle w:val="FootnoteText"/>
        <w:rPr>
          <w:szCs w:val="18"/>
        </w:rPr>
      </w:pPr>
      <w:r w:rsidRPr="00490B24">
        <w:rPr>
          <w:rStyle w:val="FootnoteReference"/>
          <w:sz w:val="18"/>
          <w:lang w:val="es-ES"/>
        </w:rPr>
        <w:footnoteRef/>
      </w:r>
      <w:r w:rsidRPr="00C6610E">
        <w:t xml:space="preserve"> </w:t>
      </w:r>
      <w:r w:rsidRPr="00C6610E">
        <w:rPr>
          <w:szCs w:val="18"/>
        </w:rPr>
        <w:t xml:space="preserve">UNEP/CHW/OEWG.9/INF/9/Add.2. </w:t>
      </w:r>
    </w:p>
  </w:footnote>
  <w:footnote w:id="4">
    <w:p w:rsidR="0092574A" w:rsidRPr="00C6610E" w:rsidRDefault="0092574A" w:rsidP="0092574A">
      <w:pPr>
        <w:pStyle w:val="FootnoteText"/>
        <w:rPr>
          <w:szCs w:val="18"/>
        </w:rPr>
      </w:pPr>
      <w:r w:rsidRPr="00490B24">
        <w:rPr>
          <w:rStyle w:val="FootnoteReference"/>
          <w:sz w:val="18"/>
          <w:lang w:val="es-ES"/>
        </w:rPr>
        <w:footnoteRef/>
      </w:r>
      <w:r w:rsidRPr="00C6610E">
        <w:t xml:space="preserve"> </w:t>
      </w:r>
      <w:r w:rsidRPr="00C6610E">
        <w:rPr>
          <w:szCs w:val="18"/>
        </w:rPr>
        <w:t xml:space="preserve">UNEP/CHW/OEWG.9/INF/30/Rev.1. </w:t>
      </w:r>
    </w:p>
  </w:footnote>
  <w:footnote w:id="5">
    <w:p w:rsidR="0092574A" w:rsidRPr="00490B24" w:rsidRDefault="0092574A" w:rsidP="0092574A">
      <w:pPr>
        <w:pStyle w:val="FootnoteText"/>
        <w:rPr>
          <w:szCs w:val="18"/>
          <w:lang w:val="es-ES"/>
        </w:rPr>
      </w:pPr>
      <w:r w:rsidRPr="00490B24">
        <w:rPr>
          <w:rStyle w:val="FootnoteReference"/>
          <w:sz w:val="18"/>
          <w:lang w:val="es-ES"/>
        </w:rPr>
        <w:footnoteRef/>
      </w:r>
      <w:r w:rsidRPr="00490B24">
        <w:rPr>
          <w:lang w:val="es-ES"/>
        </w:rPr>
        <w:t xml:space="preserve"> </w:t>
      </w:r>
      <w:r w:rsidRPr="00490B24">
        <w:rPr>
          <w:szCs w:val="18"/>
          <w:lang w:val="es-ES"/>
        </w:rPr>
        <w:t xml:space="preserve">El proyecto de documento de orientación para el inventario del ácido </w:t>
      </w:r>
      <w:proofErr w:type="spellStart"/>
      <w:r w:rsidRPr="00490B24">
        <w:rPr>
          <w:szCs w:val="18"/>
          <w:lang w:val="es-ES"/>
        </w:rPr>
        <w:t>perfluorooctano</w:t>
      </w:r>
      <w:proofErr w:type="spellEnd"/>
      <w:r w:rsidRPr="00490B24">
        <w:rPr>
          <w:szCs w:val="18"/>
          <w:lang w:val="es-ES"/>
        </w:rPr>
        <w:t xml:space="preserve"> </w:t>
      </w:r>
      <w:proofErr w:type="spellStart"/>
      <w:r w:rsidRPr="00490B24">
        <w:rPr>
          <w:szCs w:val="18"/>
          <w:lang w:val="es-ES"/>
        </w:rPr>
        <w:t>sulfónico</w:t>
      </w:r>
      <w:proofErr w:type="spellEnd"/>
      <w:r w:rsidRPr="00490B24">
        <w:rPr>
          <w:szCs w:val="18"/>
          <w:lang w:val="es-ES"/>
        </w:rPr>
        <w:t xml:space="preserve"> y productos químicos relacionados incluidos en el Convenio de Estocolmo (2012), el proyecto de orientaciones para el inventario de los éteres de </w:t>
      </w:r>
      <w:proofErr w:type="spellStart"/>
      <w:r w:rsidRPr="00490B24">
        <w:rPr>
          <w:szCs w:val="18"/>
          <w:lang w:val="es-ES"/>
        </w:rPr>
        <w:t>difenilo</w:t>
      </w:r>
      <w:proofErr w:type="spellEnd"/>
      <w:r w:rsidRPr="00490B24">
        <w:rPr>
          <w:szCs w:val="18"/>
          <w:lang w:val="es-ES"/>
        </w:rPr>
        <w:t xml:space="preserve"> </w:t>
      </w:r>
      <w:proofErr w:type="spellStart"/>
      <w:r w:rsidRPr="00490B24">
        <w:rPr>
          <w:szCs w:val="18"/>
          <w:lang w:val="es-ES"/>
        </w:rPr>
        <w:t>polibromados</w:t>
      </w:r>
      <w:proofErr w:type="spellEnd"/>
      <w:r w:rsidRPr="00490B24">
        <w:rPr>
          <w:szCs w:val="18"/>
          <w:lang w:val="es-ES"/>
        </w:rPr>
        <w:t xml:space="preserve"> incluidos en el Convenio de Estocolmo (2012), el proyecto de orientaciones sobre mejores técnicas disponibles y mejores prácticas ambientales para el uso de ácido </w:t>
      </w:r>
      <w:proofErr w:type="spellStart"/>
      <w:r w:rsidRPr="00490B24">
        <w:rPr>
          <w:szCs w:val="18"/>
          <w:lang w:val="es-ES"/>
        </w:rPr>
        <w:t>perfluorooctano</w:t>
      </w:r>
      <w:proofErr w:type="spellEnd"/>
      <w:r w:rsidRPr="00490B24">
        <w:rPr>
          <w:szCs w:val="18"/>
          <w:lang w:val="es-ES"/>
        </w:rPr>
        <w:t xml:space="preserve"> </w:t>
      </w:r>
      <w:proofErr w:type="spellStart"/>
      <w:r w:rsidRPr="00490B24">
        <w:rPr>
          <w:szCs w:val="18"/>
          <w:lang w:val="es-ES"/>
        </w:rPr>
        <w:t>sulfónico</w:t>
      </w:r>
      <w:proofErr w:type="spellEnd"/>
      <w:r w:rsidRPr="00490B24">
        <w:rPr>
          <w:szCs w:val="18"/>
          <w:lang w:val="es-ES"/>
        </w:rPr>
        <w:t xml:space="preserve"> y productos químicos relacionados incluidos en el Convenio de Estocolmo (2012), y el proyecto de orientaciones sobre mejores técnicas disponibles y mejores prácticas ambientales para el reciclado y la eliminación de desechos de artículos que contengan éteres de </w:t>
      </w:r>
      <w:proofErr w:type="spellStart"/>
      <w:r w:rsidRPr="00490B24">
        <w:rPr>
          <w:szCs w:val="18"/>
          <w:lang w:val="es-ES"/>
        </w:rPr>
        <w:t>difenilo</w:t>
      </w:r>
      <w:proofErr w:type="spellEnd"/>
      <w:r w:rsidRPr="00490B24">
        <w:rPr>
          <w:szCs w:val="18"/>
          <w:lang w:val="es-ES"/>
        </w:rPr>
        <w:t xml:space="preserve"> </w:t>
      </w:r>
      <w:proofErr w:type="spellStart"/>
      <w:r w:rsidRPr="00490B24">
        <w:rPr>
          <w:szCs w:val="18"/>
          <w:lang w:val="es-ES"/>
        </w:rPr>
        <w:t>polibromados</w:t>
      </w:r>
      <w:proofErr w:type="spellEnd"/>
      <w:r w:rsidRPr="00490B24">
        <w:rPr>
          <w:szCs w:val="18"/>
          <w:lang w:val="es-ES"/>
        </w:rPr>
        <w:t xml:space="preserve"> incluidos en el Convenio de Estocolmo (2012).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1FA5D6C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241442DA"/>
    <w:multiLevelType w:val="hybridMultilevel"/>
    <w:tmpl w:val="ACA0075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37C56"/>
    <w:multiLevelType w:val="hybridMultilevel"/>
    <w:tmpl w:val="6E1ED5F8"/>
    <w:lvl w:ilvl="0" w:tplc="FFFFFFFF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687" w:hanging="360"/>
      </w:pPr>
    </w:lvl>
    <w:lvl w:ilvl="2" w:tplc="FFFFFFFF" w:tentative="1">
      <w:start w:val="1"/>
      <w:numFmt w:val="lowerRoman"/>
      <w:lvlText w:val="%3."/>
      <w:lvlJc w:val="right"/>
      <w:pPr>
        <w:ind w:left="3407" w:hanging="180"/>
      </w:pPr>
    </w:lvl>
    <w:lvl w:ilvl="3" w:tplc="FFFFFFFF" w:tentative="1">
      <w:start w:val="1"/>
      <w:numFmt w:val="decimal"/>
      <w:lvlText w:val="%4."/>
      <w:lvlJc w:val="left"/>
      <w:pPr>
        <w:ind w:left="4127" w:hanging="360"/>
      </w:pPr>
    </w:lvl>
    <w:lvl w:ilvl="4" w:tplc="FFFFFFFF" w:tentative="1">
      <w:start w:val="1"/>
      <w:numFmt w:val="lowerLetter"/>
      <w:lvlText w:val="%5."/>
      <w:lvlJc w:val="left"/>
      <w:pPr>
        <w:ind w:left="4847" w:hanging="360"/>
      </w:pPr>
    </w:lvl>
    <w:lvl w:ilvl="5" w:tplc="FFFFFFFF" w:tentative="1">
      <w:start w:val="1"/>
      <w:numFmt w:val="lowerRoman"/>
      <w:lvlText w:val="%6."/>
      <w:lvlJc w:val="right"/>
      <w:pPr>
        <w:ind w:left="5567" w:hanging="180"/>
      </w:pPr>
    </w:lvl>
    <w:lvl w:ilvl="6" w:tplc="FFFFFFFF" w:tentative="1">
      <w:start w:val="1"/>
      <w:numFmt w:val="decimal"/>
      <w:lvlText w:val="%7."/>
      <w:lvlJc w:val="left"/>
      <w:pPr>
        <w:ind w:left="6287" w:hanging="360"/>
      </w:pPr>
    </w:lvl>
    <w:lvl w:ilvl="7" w:tplc="FFFFFFFF" w:tentative="1">
      <w:start w:val="1"/>
      <w:numFmt w:val="lowerLetter"/>
      <w:lvlText w:val="%8."/>
      <w:lvlJc w:val="left"/>
      <w:pPr>
        <w:ind w:left="7007" w:hanging="360"/>
      </w:pPr>
    </w:lvl>
    <w:lvl w:ilvl="8" w:tplc="FFFFFFFF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3">
    <w:nsid w:val="483A2339"/>
    <w:multiLevelType w:val="hybridMultilevel"/>
    <w:tmpl w:val="F1B662D0"/>
    <w:lvl w:ilvl="0" w:tplc="C9900F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5">
    <w:nsid w:val="71E06B9A"/>
    <w:multiLevelType w:val="hybridMultilevel"/>
    <w:tmpl w:val="7BC4A7F0"/>
    <w:lvl w:ilvl="0" w:tplc="0C0A0017">
      <w:start w:val="1"/>
      <w:numFmt w:val="lowerLetter"/>
      <w:lvlText w:val="%1)"/>
      <w:lvlJc w:val="left"/>
      <w:pPr>
        <w:ind w:left="2534" w:hanging="360"/>
      </w:pPr>
    </w:lvl>
    <w:lvl w:ilvl="1" w:tplc="0C0A0019" w:tentative="1">
      <w:start w:val="1"/>
      <w:numFmt w:val="lowerLetter"/>
      <w:lvlText w:val="%2."/>
      <w:lvlJc w:val="left"/>
      <w:pPr>
        <w:ind w:left="3254" w:hanging="360"/>
      </w:pPr>
    </w:lvl>
    <w:lvl w:ilvl="2" w:tplc="0C0A001B" w:tentative="1">
      <w:start w:val="1"/>
      <w:numFmt w:val="lowerRoman"/>
      <w:lvlText w:val="%3."/>
      <w:lvlJc w:val="right"/>
      <w:pPr>
        <w:ind w:left="3974" w:hanging="180"/>
      </w:pPr>
    </w:lvl>
    <w:lvl w:ilvl="3" w:tplc="0C0A000F" w:tentative="1">
      <w:start w:val="1"/>
      <w:numFmt w:val="decimal"/>
      <w:lvlText w:val="%4."/>
      <w:lvlJc w:val="left"/>
      <w:pPr>
        <w:ind w:left="4694" w:hanging="360"/>
      </w:pPr>
    </w:lvl>
    <w:lvl w:ilvl="4" w:tplc="0C0A0019" w:tentative="1">
      <w:start w:val="1"/>
      <w:numFmt w:val="lowerLetter"/>
      <w:lvlText w:val="%5."/>
      <w:lvlJc w:val="left"/>
      <w:pPr>
        <w:ind w:left="5414" w:hanging="360"/>
      </w:pPr>
    </w:lvl>
    <w:lvl w:ilvl="5" w:tplc="0C0A001B" w:tentative="1">
      <w:start w:val="1"/>
      <w:numFmt w:val="lowerRoman"/>
      <w:lvlText w:val="%6."/>
      <w:lvlJc w:val="right"/>
      <w:pPr>
        <w:ind w:left="6134" w:hanging="180"/>
      </w:pPr>
    </w:lvl>
    <w:lvl w:ilvl="6" w:tplc="0C0A000F" w:tentative="1">
      <w:start w:val="1"/>
      <w:numFmt w:val="decimal"/>
      <w:lvlText w:val="%7."/>
      <w:lvlJc w:val="left"/>
      <w:pPr>
        <w:ind w:left="6854" w:hanging="360"/>
      </w:pPr>
    </w:lvl>
    <w:lvl w:ilvl="7" w:tplc="0C0A0019" w:tentative="1">
      <w:start w:val="1"/>
      <w:numFmt w:val="lowerLetter"/>
      <w:lvlText w:val="%8."/>
      <w:lvlJc w:val="left"/>
      <w:pPr>
        <w:ind w:left="7574" w:hanging="360"/>
      </w:pPr>
    </w:lvl>
    <w:lvl w:ilvl="8" w:tplc="0C0A001B" w:tentative="1">
      <w:start w:val="1"/>
      <w:numFmt w:val="lowerRoman"/>
      <w:lvlText w:val="%9."/>
      <w:lvlJc w:val="right"/>
      <w:pPr>
        <w:ind w:left="8294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A5A"/>
    <w:rsid w:val="00245369"/>
    <w:rsid w:val="007833B5"/>
    <w:rsid w:val="007F6528"/>
    <w:rsid w:val="0092574A"/>
    <w:rsid w:val="00D74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D74A5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D74A5A"/>
    <w:pPr>
      <w:numPr>
        <w:numId w:val="1"/>
      </w:numPr>
      <w:tabs>
        <w:tab w:val="num" w:pos="360"/>
      </w:tabs>
      <w:spacing w:after="120"/>
      <w:ind w:left="0" w:firstLine="0"/>
    </w:pPr>
  </w:style>
  <w:style w:type="character" w:customStyle="1" w:styleId="Normal-poolChar">
    <w:name w:val="Normal-pool Char"/>
    <w:link w:val="Normal-pool"/>
    <w:locked/>
    <w:rsid w:val="00D74A5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3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3B5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7833B5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245369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962</Words>
  <Characters>5488</Characters>
  <Application>Microsoft Office Word</Application>
  <DocSecurity>0</DocSecurity>
  <Lines>45</Lines>
  <Paragraphs>12</Paragraphs>
  <ScaleCrop>false</ScaleCrop>
  <Company>BRS</Company>
  <LinksUpToDate>false</LinksUpToDate>
  <CharactersWithSpaces>6438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2015-09-07T07:35:00Z</dcterms:created>
  <dcterms:modified xsi:type="dcterms:W3CDTF">2015-09-07T07:35:00Z</dcterms:modified>
</cp:coreProperties>
</file>