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C2F" w:rsidRPr="000B7C2F" w:rsidRDefault="000B7C2F" w:rsidP="000B7C2F">
      <w:pPr>
        <w:tabs>
          <w:tab w:val="clear" w:pos="1247"/>
          <w:tab w:val="clear" w:pos="1814"/>
          <w:tab w:val="clear" w:pos="2381"/>
          <w:tab w:val="clear" w:pos="2948"/>
          <w:tab w:val="clear" w:pos="3515"/>
        </w:tabs>
        <w:bidi/>
        <w:spacing w:after="120" w:line="400" w:lineRule="exact"/>
        <w:ind w:left="1134" w:hanging="1"/>
        <w:jc w:val="both"/>
        <w:rPr>
          <w:rFonts w:cs="Traditional Arabic" w:hint="cs"/>
          <w:sz w:val="30"/>
          <w:szCs w:val="30"/>
          <w:rtl/>
          <w:lang w:val="en-US"/>
        </w:rPr>
      </w:pPr>
      <w:r w:rsidRPr="000B7C2F">
        <w:rPr>
          <w:rFonts w:ascii="Traditional Arabic" w:hAnsi="Traditional Arabic" w:cs="Traditional Arabic" w:hint="cs"/>
          <w:b/>
          <w:bCs/>
          <w:sz w:val="30"/>
          <w:szCs w:val="30"/>
          <w:rtl/>
          <w:lang w:val="en-US"/>
        </w:rPr>
        <w:t xml:space="preserve">مقرر </w:t>
      </w:r>
      <w:r w:rsidRPr="000B7C2F">
        <w:rPr>
          <w:rFonts w:cs="Traditional Arabic" w:hint="cs"/>
          <w:b/>
          <w:bCs/>
          <w:sz w:val="30"/>
          <w:szCs w:val="30"/>
          <w:rtl/>
          <w:lang w:val="en-US"/>
        </w:rPr>
        <w:t>ا</w:t>
      </w:r>
      <w:r w:rsidRPr="000B7C2F">
        <w:rPr>
          <w:rFonts w:cs="Traditional Arabic"/>
          <w:b/>
          <w:bCs/>
          <w:sz w:val="30"/>
          <w:szCs w:val="30"/>
          <w:rtl/>
          <w:lang w:val="en-US"/>
        </w:rPr>
        <w:t>لفريق العامل المفتوح العضوية</w:t>
      </w:r>
      <w:r w:rsidRPr="000B7C2F">
        <w:rPr>
          <w:rFonts w:ascii="Traditional Arabic" w:hAnsi="Traditional Arabic" w:cs="Traditional Arabic" w:hint="cs"/>
          <w:b/>
          <w:bCs/>
          <w:sz w:val="30"/>
          <w:szCs w:val="30"/>
          <w:rtl/>
          <w:lang w:val="en-US"/>
        </w:rPr>
        <w:t xml:space="preserve"> -9/8: </w:t>
      </w:r>
      <w:r w:rsidRPr="000B7C2F">
        <w:rPr>
          <w:rFonts w:cs="Traditional Arabic"/>
          <w:b/>
          <w:bCs/>
          <w:sz w:val="30"/>
          <w:szCs w:val="30"/>
          <w:rtl/>
          <w:lang w:val="en-US"/>
        </w:rPr>
        <w:t>تقديم المزيد من التوضيحات القانونية</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5"/>
        <w:jc w:val="both"/>
        <w:rPr>
          <w:rFonts w:cs="Traditional Arabic" w:hint="cs"/>
          <w:szCs w:val="30"/>
          <w:rtl/>
          <w:lang w:val="en-US"/>
        </w:rPr>
      </w:pPr>
      <w:r w:rsidRPr="000B7C2F">
        <w:rPr>
          <w:rFonts w:cs="Traditional Arabic" w:hint="cs"/>
          <w:i/>
          <w:iCs/>
          <w:szCs w:val="30"/>
          <w:rtl/>
          <w:lang w:val="en-US"/>
        </w:rPr>
        <w:t>إن الفريق العامل المفتوح العضوية</w:t>
      </w:r>
      <w:r w:rsidRPr="000B7C2F">
        <w:rPr>
          <w:rFonts w:cs="Traditional Arabic" w:hint="cs"/>
          <w:szCs w:val="30"/>
          <w:rtl/>
          <w:lang w:val="en-US"/>
        </w:rPr>
        <w:t>،</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5"/>
        <w:jc w:val="both"/>
        <w:rPr>
          <w:rFonts w:cs="Traditional Arabic" w:hint="cs"/>
          <w:szCs w:val="30"/>
          <w:rtl/>
          <w:lang w:val="en-US"/>
        </w:rPr>
      </w:pPr>
      <w:r w:rsidRPr="000B7C2F">
        <w:rPr>
          <w:rFonts w:cs="Traditional Arabic" w:hint="cs"/>
          <w:szCs w:val="30"/>
          <w:rtl/>
          <w:lang w:val="en-US"/>
        </w:rPr>
        <w:t>1-</w:t>
      </w:r>
      <w:r w:rsidRPr="000B7C2F">
        <w:rPr>
          <w:rFonts w:cs="Traditional Arabic" w:hint="cs"/>
          <w:szCs w:val="30"/>
          <w:rtl/>
          <w:lang w:val="en-US"/>
        </w:rPr>
        <w:tab/>
      </w:r>
      <w:r w:rsidRPr="000B7C2F">
        <w:rPr>
          <w:rFonts w:cs="Traditional Arabic" w:hint="cs"/>
          <w:i/>
          <w:iCs/>
          <w:szCs w:val="30"/>
          <w:rtl/>
          <w:lang w:val="en-US"/>
        </w:rPr>
        <w:t>يرحب</w:t>
      </w:r>
      <w:r w:rsidRPr="000B7C2F">
        <w:rPr>
          <w:rFonts w:cs="Traditional Arabic" w:hint="cs"/>
          <w:szCs w:val="30"/>
          <w:rtl/>
          <w:lang w:val="en-US"/>
        </w:rPr>
        <w:t xml:space="preserve"> بالعمل الذي اضطلع به الفريق الصغير العامل فيما بين الدورات المعني بالتوضيحات القانونية؛</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7"/>
        <w:jc w:val="both"/>
        <w:rPr>
          <w:rFonts w:cs="Traditional Arabic"/>
          <w:szCs w:val="30"/>
          <w:rtl/>
          <w:lang w:val="en-US"/>
        </w:rPr>
      </w:pPr>
      <w:r w:rsidRPr="000B7C2F">
        <w:rPr>
          <w:rFonts w:cs="Traditional Arabic"/>
          <w:szCs w:val="30"/>
          <w:rtl/>
          <w:lang w:val="en-US"/>
        </w:rPr>
        <w:t>2 -</w:t>
      </w:r>
      <w:r w:rsidRPr="000B7C2F">
        <w:rPr>
          <w:rFonts w:cs="Traditional Arabic"/>
          <w:szCs w:val="30"/>
          <w:rtl/>
          <w:lang w:val="en-US"/>
        </w:rPr>
        <w:tab/>
      </w:r>
      <w:r w:rsidRPr="000B7C2F">
        <w:rPr>
          <w:rFonts w:cs="Traditional Arabic"/>
          <w:i/>
          <w:iCs/>
          <w:szCs w:val="30"/>
          <w:rtl/>
          <w:lang w:val="en-US"/>
        </w:rPr>
        <w:t>يدعو</w:t>
      </w:r>
      <w:r w:rsidRPr="000B7C2F">
        <w:rPr>
          <w:rFonts w:cs="Traditional Arabic"/>
          <w:szCs w:val="30"/>
          <w:rtl/>
          <w:lang w:val="en-US"/>
        </w:rPr>
        <w:t xml:space="preserve"> </w:t>
      </w:r>
      <w:r w:rsidRPr="000B7C2F">
        <w:rPr>
          <w:rFonts w:cs="Traditional Arabic" w:hint="cs"/>
          <w:szCs w:val="30"/>
          <w:rtl/>
          <w:lang w:val="en-US"/>
        </w:rPr>
        <w:t>ال</w:t>
      </w:r>
      <w:r w:rsidRPr="000B7C2F">
        <w:rPr>
          <w:rFonts w:cs="Traditional Arabic"/>
          <w:szCs w:val="30"/>
          <w:rtl/>
          <w:lang w:val="en-US"/>
        </w:rPr>
        <w:t xml:space="preserve">أطراف </w:t>
      </w:r>
      <w:r w:rsidRPr="000B7C2F">
        <w:rPr>
          <w:rFonts w:cs="Traditional Arabic" w:hint="cs"/>
          <w:szCs w:val="30"/>
          <w:rtl/>
          <w:lang w:val="en-US"/>
        </w:rPr>
        <w:t>ال</w:t>
      </w:r>
      <w:r w:rsidRPr="000B7C2F">
        <w:rPr>
          <w:rFonts w:cs="Traditional Arabic"/>
          <w:szCs w:val="30"/>
          <w:rtl/>
          <w:lang w:val="en-US"/>
        </w:rPr>
        <w:t>إضافية لترشيح خبراء</w:t>
      </w:r>
      <w:r w:rsidRPr="000B7C2F">
        <w:rPr>
          <w:rFonts w:cs="Traditional Arabic" w:hint="cs"/>
          <w:szCs w:val="30"/>
          <w:rtl/>
          <w:lang w:val="en-US"/>
        </w:rPr>
        <w:t>،</w:t>
      </w:r>
      <w:r w:rsidRPr="000B7C2F">
        <w:rPr>
          <w:rFonts w:cs="Traditional Arabic"/>
          <w:szCs w:val="30"/>
          <w:rtl/>
          <w:lang w:val="en-US"/>
        </w:rPr>
        <w:t xml:space="preserve"> في موعد لا يتجاوز 15 تشرين الأول/أكتوبر 2014</w:t>
      </w:r>
      <w:r w:rsidRPr="000B7C2F">
        <w:rPr>
          <w:rFonts w:cs="Traditional Arabic" w:hint="cs"/>
          <w:szCs w:val="30"/>
          <w:rtl/>
          <w:lang w:val="en-US"/>
        </w:rPr>
        <w:t>،</w:t>
      </w:r>
      <w:r w:rsidRPr="000B7C2F">
        <w:rPr>
          <w:rFonts w:cs="Traditional Arabic"/>
          <w:szCs w:val="30"/>
          <w:rtl/>
          <w:lang w:val="en-US"/>
        </w:rPr>
        <w:t xml:space="preserve"> للمشاركة في الفريق الصغير العامل فيما بين الدورات؛</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7"/>
        <w:jc w:val="both"/>
        <w:rPr>
          <w:rFonts w:cs="Traditional Arabic"/>
          <w:szCs w:val="30"/>
          <w:rtl/>
          <w:lang w:val="en-US"/>
        </w:rPr>
      </w:pPr>
      <w:r w:rsidRPr="000B7C2F">
        <w:rPr>
          <w:rFonts w:cs="Traditional Arabic"/>
          <w:szCs w:val="30"/>
          <w:rtl/>
          <w:lang w:val="en-US"/>
        </w:rPr>
        <w:t>3 -</w:t>
      </w:r>
      <w:r w:rsidRPr="000B7C2F">
        <w:rPr>
          <w:rFonts w:cs="Traditional Arabic"/>
          <w:szCs w:val="30"/>
          <w:rtl/>
          <w:lang w:val="en-US"/>
        </w:rPr>
        <w:tab/>
      </w:r>
      <w:r w:rsidRPr="000B7C2F">
        <w:rPr>
          <w:rFonts w:cs="Traditional Arabic"/>
          <w:i/>
          <w:iCs/>
          <w:szCs w:val="30"/>
          <w:rtl/>
          <w:lang w:val="en-US"/>
        </w:rPr>
        <w:t>يدعو</w:t>
      </w:r>
      <w:r w:rsidRPr="000B7C2F">
        <w:rPr>
          <w:rFonts w:cs="Traditional Arabic"/>
          <w:szCs w:val="30"/>
          <w:rtl/>
          <w:lang w:val="en-US"/>
        </w:rPr>
        <w:t xml:space="preserve"> الأطراف والجهات الأخرى لتقديم تعليقاتها في موعد لا يتجاوز 3</w:t>
      </w:r>
      <w:r w:rsidRPr="000B7C2F">
        <w:rPr>
          <w:rFonts w:cs="Traditional Arabic" w:hint="cs"/>
          <w:szCs w:val="30"/>
          <w:rtl/>
          <w:lang w:val="en-US"/>
        </w:rPr>
        <w:t>1</w:t>
      </w:r>
      <w:r w:rsidRPr="000B7C2F">
        <w:rPr>
          <w:rFonts w:cs="Traditional Arabic"/>
          <w:szCs w:val="30"/>
          <w:rtl/>
          <w:lang w:val="en-US"/>
        </w:rPr>
        <w:t xml:space="preserve"> تشرين الأول/أكتوبر 2014</w:t>
      </w:r>
      <w:r w:rsidRPr="000B7C2F">
        <w:rPr>
          <w:rFonts w:cs="Traditional Arabic" w:hint="cs"/>
          <w:szCs w:val="30"/>
          <w:rtl/>
          <w:lang w:val="en-US"/>
        </w:rPr>
        <w:t xml:space="preserve"> </w:t>
      </w:r>
      <w:r w:rsidRPr="000B7C2F">
        <w:rPr>
          <w:rFonts w:cs="Traditional Arabic"/>
          <w:szCs w:val="30"/>
          <w:rtl/>
          <w:lang w:val="en-US"/>
        </w:rPr>
        <w:t xml:space="preserve">حول </w:t>
      </w:r>
      <w:r w:rsidRPr="000B7C2F">
        <w:rPr>
          <w:rFonts w:cs="Traditional Arabic" w:hint="cs"/>
          <w:szCs w:val="30"/>
          <w:rtl/>
          <w:lang w:val="en-US"/>
        </w:rPr>
        <w:t>التعاريف</w:t>
      </w:r>
      <w:r w:rsidRPr="000B7C2F">
        <w:rPr>
          <w:rFonts w:cs="Traditional Arabic"/>
          <w:szCs w:val="30"/>
          <w:rtl/>
          <w:lang w:val="en-US"/>
        </w:rPr>
        <w:t xml:space="preserve"> والتفسيرات المذكورة في تقرير الاجتماع الث</w:t>
      </w:r>
      <w:r w:rsidRPr="000B7C2F">
        <w:rPr>
          <w:rFonts w:cs="Traditional Arabic" w:hint="cs"/>
          <w:szCs w:val="30"/>
          <w:rtl/>
          <w:lang w:val="en-US"/>
        </w:rPr>
        <w:t>ام</w:t>
      </w:r>
      <w:r w:rsidRPr="000B7C2F">
        <w:rPr>
          <w:rFonts w:cs="Traditional Arabic"/>
          <w:szCs w:val="30"/>
          <w:rtl/>
          <w:lang w:val="en-US"/>
        </w:rPr>
        <w:t>ن للفريق العامل المفتوح العضوية</w:t>
      </w:r>
      <w:r w:rsidRPr="000B7C2F">
        <w:rPr>
          <w:rFonts w:cs="Traditional Arabic"/>
          <w:szCs w:val="30"/>
          <w:vertAlign w:val="superscript"/>
          <w:rtl/>
          <w:lang w:val="en-US"/>
        </w:rPr>
        <w:t>(</w:t>
      </w:r>
      <w:r w:rsidRPr="000B7C2F">
        <w:rPr>
          <w:rFonts w:cs="Traditional Arabic"/>
          <w:szCs w:val="30"/>
          <w:vertAlign w:val="superscript"/>
          <w:rtl/>
          <w:lang w:val="en-US"/>
        </w:rPr>
        <w:footnoteReference w:id="1"/>
      </w:r>
      <w:r w:rsidRPr="000B7C2F">
        <w:rPr>
          <w:rFonts w:cs="Traditional Arabic"/>
          <w:szCs w:val="30"/>
          <w:vertAlign w:val="superscript"/>
          <w:rtl/>
          <w:lang w:val="en-US"/>
        </w:rPr>
        <w:t>)</w:t>
      </w:r>
      <w:r w:rsidRPr="000B7C2F">
        <w:rPr>
          <w:rFonts w:cs="Traditional Arabic"/>
          <w:szCs w:val="30"/>
          <w:rtl/>
          <w:lang w:val="en-US"/>
        </w:rPr>
        <w:t xml:space="preserve"> وحول خيارات اتخاذ </w:t>
      </w:r>
      <w:r w:rsidRPr="000B7C2F">
        <w:rPr>
          <w:rFonts w:cs="Traditional Arabic" w:hint="cs"/>
          <w:szCs w:val="30"/>
          <w:rtl/>
          <w:lang w:val="en-US"/>
        </w:rPr>
        <w:t>خطوات</w:t>
      </w:r>
      <w:r w:rsidRPr="000B7C2F">
        <w:rPr>
          <w:rFonts w:cs="Traditional Arabic"/>
          <w:szCs w:val="30"/>
          <w:rtl/>
          <w:lang w:val="en-US"/>
        </w:rPr>
        <w:t xml:space="preserve"> إضافية باتجاه </w:t>
      </w:r>
      <w:r w:rsidRPr="000B7C2F">
        <w:rPr>
          <w:rFonts w:cs="Traditional Arabic" w:hint="cs"/>
          <w:szCs w:val="30"/>
          <w:rtl/>
          <w:lang w:val="en-US"/>
        </w:rPr>
        <w:t xml:space="preserve">تجانس </w:t>
      </w:r>
      <w:r w:rsidRPr="000B7C2F">
        <w:rPr>
          <w:rFonts w:cs="Traditional Arabic"/>
          <w:szCs w:val="30"/>
          <w:rtl/>
          <w:lang w:val="en-US"/>
        </w:rPr>
        <w:t xml:space="preserve">تفسير </w:t>
      </w:r>
      <w:r w:rsidRPr="000B7C2F">
        <w:rPr>
          <w:rFonts w:cs="Traditional Arabic" w:hint="cs"/>
          <w:szCs w:val="30"/>
          <w:rtl/>
          <w:lang w:val="en-US"/>
        </w:rPr>
        <w:t>ا</w:t>
      </w:r>
      <w:r w:rsidRPr="000B7C2F">
        <w:rPr>
          <w:rFonts w:cs="Traditional Arabic"/>
          <w:szCs w:val="30"/>
          <w:rtl/>
          <w:lang w:val="en-US"/>
        </w:rPr>
        <w:t>لمصطلحات</w:t>
      </w:r>
      <w:r w:rsidRPr="000B7C2F">
        <w:rPr>
          <w:rFonts w:cs="Traditional Arabic" w:hint="cs"/>
          <w:szCs w:val="30"/>
          <w:rtl/>
          <w:lang w:val="en-US"/>
        </w:rPr>
        <w:t>،</w:t>
      </w:r>
      <w:r w:rsidRPr="000B7C2F">
        <w:rPr>
          <w:rFonts w:cs="Traditional Arabic"/>
          <w:szCs w:val="30"/>
          <w:rtl/>
          <w:lang w:val="en-US"/>
        </w:rPr>
        <w:t xml:space="preserve"> بما في ذلك الخيارات الطوعية الممكنة والملزمة قانونياً؛</w:t>
      </w:r>
      <w:r w:rsidRPr="000B7C2F">
        <w:rPr>
          <w:rFonts w:cs="Traditional Arabic"/>
          <w:szCs w:val="30"/>
          <w:vertAlign w:val="superscript"/>
          <w:rtl/>
          <w:lang w:val="en-US"/>
        </w:rPr>
        <w:t>(</w:t>
      </w:r>
      <w:r w:rsidRPr="000B7C2F">
        <w:rPr>
          <w:rFonts w:cs="Traditional Arabic"/>
          <w:szCs w:val="30"/>
          <w:vertAlign w:val="superscript"/>
          <w:rtl/>
          <w:lang w:val="en-US"/>
        </w:rPr>
        <w:footnoteReference w:id="2"/>
      </w:r>
      <w:r w:rsidRPr="000B7C2F">
        <w:rPr>
          <w:rFonts w:cs="Traditional Arabic"/>
          <w:szCs w:val="30"/>
          <w:vertAlign w:val="superscript"/>
          <w:rtl/>
          <w:lang w:val="en-US"/>
        </w:rPr>
        <w:t>)</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7"/>
        <w:jc w:val="both"/>
        <w:rPr>
          <w:rFonts w:cs="Traditional Arabic"/>
          <w:szCs w:val="30"/>
          <w:rtl/>
          <w:lang w:val="en-US"/>
        </w:rPr>
      </w:pPr>
      <w:r w:rsidRPr="000B7C2F">
        <w:rPr>
          <w:rFonts w:cs="Traditional Arabic"/>
          <w:szCs w:val="30"/>
          <w:rtl/>
          <w:lang w:val="en-US"/>
        </w:rPr>
        <w:t>4 -</w:t>
      </w:r>
      <w:r w:rsidRPr="000B7C2F">
        <w:rPr>
          <w:rFonts w:cs="Traditional Arabic"/>
          <w:szCs w:val="30"/>
          <w:rtl/>
          <w:lang w:val="en-US"/>
        </w:rPr>
        <w:tab/>
      </w:r>
      <w:r w:rsidRPr="000B7C2F">
        <w:rPr>
          <w:rFonts w:cs="Traditional Arabic"/>
          <w:i/>
          <w:iCs/>
          <w:szCs w:val="30"/>
          <w:rtl/>
          <w:lang w:val="en-US"/>
        </w:rPr>
        <w:t>يدعو</w:t>
      </w:r>
      <w:r w:rsidRPr="000B7C2F">
        <w:rPr>
          <w:rFonts w:cs="Traditional Arabic"/>
          <w:szCs w:val="30"/>
          <w:rtl/>
          <w:lang w:val="en-US"/>
        </w:rPr>
        <w:t xml:space="preserve"> الفريق الصغير العامل فيما بين الدورات المعني بالتوضيحات القانونية أن يعد نسخةً منقحة من مشروع مسرد المصطلحات الذي يشمل التفسيرات، </w:t>
      </w:r>
      <w:r w:rsidRPr="000B7C2F">
        <w:rPr>
          <w:rFonts w:cs="Traditional Arabic" w:hint="cs"/>
          <w:szCs w:val="30"/>
          <w:rtl/>
          <w:lang w:val="en-US"/>
        </w:rPr>
        <w:t>آ</w:t>
      </w:r>
      <w:r w:rsidRPr="000B7C2F">
        <w:rPr>
          <w:rFonts w:cs="Traditional Arabic"/>
          <w:szCs w:val="30"/>
          <w:rtl/>
          <w:lang w:val="en-US"/>
        </w:rPr>
        <w:t xml:space="preserve">خذاً في اعتباره التعليقات التي ترد من الأطراف وغير الأطراف فضلاً عن مداولات الفريق العامل المفتوح العضوية في اجتماعه التاسع، على النحو الذي </w:t>
      </w:r>
      <w:r w:rsidRPr="000B7C2F">
        <w:rPr>
          <w:rFonts w:cs="Traditional Arabic" w:hint="cs"/>
          <w:szCs w:val="30"/>
          <w:rtl/>
          <w:lang w:val="en-US"/>
        </w:rPr>
        <w:t>أُ</w:t>
      </w:r>
      <w:r w:rsidRPr="000B7C2F">
        <w:rPr>
          <w:rFonts w:cs="Traditional Arabic"/>
          <w:szCs w:val="30"/>
          <w:rtl/>
          <w:lang w:val="en-US"/>
        </w:rPr>
        <w:t>برز في تقرير ذلك الاجتماع، والتنسيق حسب الاقتضاء مع فريق الخبراء العامل بشأن الإدارة السليمة بيئياً؛</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7"/>
        <w:jc w:val="both"/>
        <w:rPr>
          <w:rFonts w:cs="Traditional Arabic"/>
          <w:szCs w:val="30"/>
          <w:rtl/>
          <w:lang w:val="en-US"/>
        </w:rPr>
      </w:pPr>
      <w:r w:rsidRPr="000B7C2F">
        <w:rPr>
          <w:rFonts w:cs="Traditional Arabic"/>
          <w:szCs w:val="30"/>
          <w:rtl/>
          <w:lang w:val="en-US"/>
        </w:rPr>
        <w:t>5 -</w:t>
      </w:r>
      <w:r w:rsidRPr="000B7C2F">
        <w:rPr>
          <w:rFonts w:cs="Traditional Arabic"/>
          <w:szCs w:val="30"/>
          <w:rtl/>
          <w:lang w:val="en-US"/>
        </w:rPr>
        <w:tab/>
      </w:r>
      <w:r w:rsidRPr="000B7C2F">
        <w:rPr>
          <w:rFonts w:cs="Traditional Arabic"/>
          <w:i/>
          <w:iCs/>
          <w:szCs w:val="30"/>
          <w:rtl/>
          <w:lang w:val="en-US"/>
        </w:rPr>
        <w:t>يدعو أيضاً</w:t>
      </w:r>
      <w:r w:rsidRPr="000B7C2F">
        <w:rPr>
          <w:rFonts w:cs="Traditional Arabic"/>
          <w:szCs w:val="30"/>
          <w:rtl/>
          <w:lang w:val="en-US"/>
        </w:rPr>
        <w:t xml:space="preserve"> الفريق الصغير العامل فيما بين الدورات أن يضع توصيات بشأن المواضع التي قد تكون فيها التوجيهات الإضافية مفيدة وبشأن ما إذا كانت هناك أي مصطلحات ورد تعريفها في المبادئ التوجيهية التقنية ووثائق التوجيهات المعتمدة سابقاً </w:t>
      </w:r>
      <w:r w:rsidRPr="000B7C2F">
        <w:rPr>
          <w:rFonts w:cs="Traditional Arabic" w:hint="cs"/>
          <w:szCs w:val="30"/>
          <w:rtl/>
          <w:lang w:val="en-US"/>
        </w:rPr>
        <w:t>و</w:t>
      </w:r>
      <w:r w:rsidRPr="000B7C2F">
        <w:rPr>
          <w:rFonts w:cs="Traditional Arabic"/>
          <w:szCs w:val="30"/>
          <w:rtl/>
          <w:lang w:val="en-US"/>
        </w:rPr>
        <w:t xml:space="preserve">كذلك </w:t>
      </w:r>
      <w:r w:rsidRPr="000B7C2F">
        <w:rPr>
          <w:rFonts w:cs="Traditional Arabic" w:hint="cs"/>
          <w:szCs w:val="30"/>
          <w:rtl/>
          <w:lang w:val="en-US"/>
        </w:rPr>
        <w:t>إ</w:t>
      </w:r>
      <w:r w:rsidRPr="000B7C2F">
        <w:rPr>
          <w:rFonts w:cs="Traditional Arabic"/>
          <w:szCs w:val="30"/>
          <w:rtl/>
          <w:lang w:val="en-US"/>
        </w:rPr>
        <w:t>طار الإدارة السليمة بيئياً للنفايات الخطرة وغيرها من النفايات</w:t>
      </w:r>
      <w:r w:rsidRPr="000B7C2F">
        <w:rPr>
          <w:rFonts w:cs="Traditional Arabic" w:hint="cs"/>
          <w:szCs w:val="30"/>
          <w:rtl/>
          <w:lang w:val="en-US"/>
        </w:rPr>
        <w:t>،</w:t>
      </w:r>
      <w:r w:rsidRPr="000B7C2F">
        <w:rPr>
          <w:rFonts w:cs="Traditional Arabic"/>
          <w:szCs w:val="30"/>
          <w:rtl/>
          <w:lang w:val="en-US"/>
        </w:rPr>
        <w:t xml:space="preserve"> تحتاج إلى تحديث نتيجةً </w:t>
      </w:r>
      <w:r w:rsidRPr="000B7C2F">
        <w:rPr>
          <w:rFonts w:cs="Traditional Arabic" w:hint="cs"/>
          <w:szCs w:val="30"/>
          <w:rtl/>
          <w:lang w:val="en-US"/>
        </w:rPr>
        <w:t>ل</w:t>
      </w:r>
      <w:r w:rsidRPr="000B7C2F">
        <w:rPr>
          <w:rFonts w:cs="Traditional Arabic"/>
          <w:szCs w:val="30"/>
          <w:rtl/>
          <w:lang w:val="en-US"/>
        </w:rPr>
        <w:t>ذلك</w:t>
      </w:r>
      <w:r w:rsidRPr="000B7C2F">
        <w:rPr>
          <w:rFonts w:cs="Traditional Arabic" w:hint="cs"/>
          <w:szCs w:val="30"/>
          <w:rtl/>
          <w:lang w:val="en-US"/>
        </w:rPr>
        <w:t>،</w:t>
      </w:r>
      <w:r w:rsidRPr="000B7C2F">
        <w:rPr>
          <w:rFonts w:cs="Traditional Arabic"/>
          <w:szCs w:val="30"/>
          <w:rtl/>
          <w:lang w:val="en-US"/>
        </w:rPr>
        <w:t xml:space="preserve"> وبشأن خيارات </w:t>
      </w:r>
      <w:r w:rsidRPr="000B7C2F">
        <w:rPr>
          <w:rFonts w:cs="Traditional Arabic" w:hint="cs"/>
          <w:szCs w:val="30"/>
          <w:rtl/>
          <w:lang w:val="en-US"/>
        </w:rPr>
        <w:t>ل</w:t>
      </w:r>
      <w:r w:rsidRPr="000B7C2F">
        <w:rPr>
          <w:rFonts w:cs="Traditional Arabic"/>
          <w:szCs w:val="30"/>
          <w:rtl/>
          <w:lang w:val="en-US"/>
        </w:rPr>
        <w:t>اتخاذ المزيد من الخطوات نحو اتساق ت</w:t>
      </w:r>
      <w:r w:rsidRPr="000B7C2F">
        <w:rPr>
          <w:rFonts w:cs="Traditional Arabic" w:hint="cs"/>
          <w:szCs w:val="30"/>
          <w:rtl/>
          <w:lang w:val="en-US"/>
        </w:rPr>
        <w:t>فس</w:t>
      </w:r>
      <w:r w:rsidRPr="000B7C2F">
        <w:rPr>
          <w:rFonts w:cs="Traditional Arabic"/>
          <w:szCs w:val="30"/>
          <w:rtl/>
          <w:lang w:val="en-US"/>
        </w:rPr>
        <w:t>ير المصطلحات؛</w:t>
      </w:r>
    </w:p>
    <w:p w:rsidR="000B7C2F" w:rsidRPr="000B7C2F" w:rsidRDefault="000B7C2F" w:rsidP="000B7C2F">
      <w:pPr>
        <w:tabs>
          <w:tab w:val="clear" w:pos="1247"/>
          <w:tab w:val="clear" w:pos="1814"/>
          <w:tab w:val="clear" w:pos="2381"/>
          <w:tab w:val="clear" w:pos="2948"/>
          <w:tab w:val="clear" w:pos="3515"/>
        </w:tabs>
        <w:bidi/>
        <w:spacing w:after="120" w:line="400" w:lineRule="exact"/>
        <w:ind w:left="1134" w:firstLine="567"/>
        <w:jc w:val="both"/>
        <w:rPr>
          <w:rFonts w:cs="Traditional Arabic" w:hint="cs"/>
          <w:szCs w:val="30"/>
          <w:rtl/>
          <w:lang w:val="en-US"/>
        </w:rPr>
      </w:pPr>
      <w:r w:rsidRPr="000B7C2F">
        <w:rPr>
          <w:rFonts w:cs="Traditional Arabic"/>
          <w:szCs w:val="30"/>
          <w:rtl/>
          <w:lang w:val="en-US"/>
        </w:rPr>
        <w:t>6 -</w:t>
      </w:r>
      <w:r w:rsidRPr="000B7C2F">
        <w:rPr>
          <w:rFonts w:cs="Traditional Arabic"/>
          <w:szCs w:val="30"/>
          <w:rtl/>
          <w:lang w:val="en-US"/>
        </w:rPr>
        <w:tab/>
      </w:r>
      <w:r w:rsidRPr="000B7C2F">
        <w:rPr>
          <w:rFonts w:cs="Traditional Arabic"/>
          <w:i/>
          <w:iCs/>
          <w:szCs w:val="30"/>
          <w:rtl/>
          <w:lang w:val="en-US"/>
        </w:rPr>
        <w:t>يدعو كذلك</w:t>
      </w:r>
      <w:r w:rsidRPr="000B7C2F">
        <w:rPr>
          <w:rFonts w:cs="Traditional Arabic"/>
          <w:szCs w:val="30"/>
          <w:rtl/>
          <w:lang w:val="en-US"/>
        </w:rPr>
        <w:t xml:space="preserve"> الفريق الصغير العامل فيما بين الدورات لتقديم مسرد منقح للمصطلحات يشتمل على تفسيرات </w:t>
      </w:r>
      <w:r w:rsidRPr="000B7C2F">
        <w:rPr>
          <w:rFonts w:cs="Traditional Arabic" w:hint="cs"/>
          <w:szCs w:val="30"/>
          <w:rtl/>
          <w:lang w:val="en-US"/>
        </w:rPr>
        <w:t>و</w:t>
      </w:r>
      <w:r w:rsidRPr="000B7C2F">
        <w:rPr>
          <w:rFonts w:cs="Traditional Arabic"/>
          <w:szCs w:val="30"/>
          <w:rtl/>
          <w:lang w:val="en-US"/>
        </w:rPr>
        <w:t>توصيات بشأن المواضع التي تكون فيه</w:t>
      </w:r>
      <w:r w:rsidRPr="000B7C2F">
        <w:rPr>
          <w:rFonts w:cs="Traditional Arabic" w:hint="cs"/>
          <w:szCs w:val="30"/>
          <w:rtl/>
          <w:lang w:val="en-US"/>
        </w:rPr>
        <w:t>ا</w:t>
      </w:r>
      <w:r w:rsidRPr="000B7C2F">
        <w:rPr>
          <w:rFonts w:cs="Traditional Arabic"/>
          <w:szCs w:val="30"/>
          <w:rtl/>
          <w:lang w:val="en-US"/>
        </w:rPr>
        <w:t xml:space="preserve"> التوجيهات الإضافية مفيدة، وبشأن ما إذا كانت هناك أي مصطلحات ورد تعريفها في المبادئ التوجيهية التقنية ووثائق التوجيهات المعتمدة سابقاً </w:t>
      </w:r>
      <w:r w:rsidRPr="000B7C2F">
        <w:rPr>
          <w:rFonts w:cs="Traditional Arabic" w:hint="cs"/>
          <w:szCs w:val="30"/>
          <w:rtl/>
          <w:lang w:val="en-US"/>
        </w:rPr>
        <w:t xml:space="preserve">وكذلك </w:t>
      </w:r>
      <w:r w:rsidRPr="000B7C2F">
        <w:rPr>
          <w:rFonts w:cs="Traditional Arabic"/>
          <w:szCs w:val="30"/>
          <w:rtl/>
          <w:lang w:val="en-US"/>
        </w:rPr>
        <w:t xml:space="preserve">إلى </w:t>
      </w:r>
      <w:r w:rsidRPr="000B7C2F">
        <w:rPr>
          <w:rFonts w:cs="Traditional Arabic" w:hint="cs"/>
          <w:szCs w:val="30"/>
          <w:rtl/>
          <w:lang w:val="en-US"/>
        </w:rPr>
        <w:t>إ</w:t>
      </w:r>
      <w:r w:rsidRPr="000B7C2F">
        <w:rPr>
          <w:rFonts w:cs="Traditional Arabic"/>
          <w:szCs w:val="30"/>
          <w:rtl/>
          <w:lang w:val="en-US"/>
        </w:rPr>
        <w:t xml:space="preserve">طار </w:t>
      </w:r>
      <w:r w:rsidRPr="000B7C2F">
        <w:rPr>
          <w:rFonts w:cs="Traditional Arabic" w:hint="cs"/>
          <w:szCs w:val="30"/>
          <w:rtl/>
          <w:lang w:val="en-US"/>
        </w:rPr>
        <w:t xml:space="preserve">الإدارة </w:t>
      </w:r>
      <w:r w:rsidRPr="000B7C2F">
        <w:rPr>
          <w:rFonts w:cs="Traditional Arabic"/>
          <w:szCs w:val="30"/>
          <w:rtl/>
          <w:lang w:val="en-US"/>
        </w:rPr>
        <w:t>السليمة بيئياً للنفايات الخطرة والنف</w:t>
      </w:r>
      <w:r w:rsidRPr="000B7C2F">
        <w:rPr>
          <w:rFonts w:cs="Traditional Arabic" w:hint="cs"/>
          <w:szCs w:val="30"/>
          <w:rtl/>
          <w:lang w:val="en-US"/>
        </w:rPr>
        <w:t>ا</w:t>
      </w:r>
      <w:r w:rsidRPr="000B7C2F">
        <w:rPr>
          <w:rFonts w:cs="Traditional Arabic"/>
          <w:szCs w:val="30"/>
          <w:rtl/>
          <w:lang w:val="en-US"/>
        </w:rPr>
        <w:t xml:space="preserve">يات الأخرى تحتاج إلى التحديث نتيجةً </w:t>
      </w:r>
      <w:r w:rsidRPr="000B7C2F">
        <w:rPr>
          <w:rFonts w:cs="Traditional Arabic" w:hint="cs"/>
          <w:szCs w:val="30"/>
          <w:rtl/>
          <w:lang w:val="en-US"/>
        </w:rPr>
        <w:t>ل</w:t>
      </w:r>
      <w:r w:rsidRPr="000B7C2F">
        <w:rPr>
          <w:rFonts w:cs="Traditional Arabic"/>
          <w:szCs w:val="30"/>
          <w:rtl/>
          <w:lang w:val="en-US"/>
        </w:rPr>
        <w:t>ذلك</w:t>
      </w:r>
      <w:r w:rsidRPr="000B7C2F">
        <w:rPr>
          <w:rFonts w:cs="Traditional Arabic" w:hint="cs"/>
          <w:szCs w:val="30"/>
          <w:rtl/>
          <w:lang w:val="en-US"/>
        </w:rPr>
        <w:t>،</w:t>
      </w:r>
      <w:r w:rsidRPr="000B7C2F">
        <w:rPr>
          <w:rFonts w:cs="Traditional Arabic"/>
          <w:szCs w:val="30"/>
          <w:rtl/>
          <w:lang w:val="en-US"/>
        </w:rPr>
        <w:t xml:space="preserve"> وبشأن أي خطوات إضافية نحو اتساق تفسير المصطلحات إلى مؤتمر</w:t>
      </w:r>
      <w:r w:rsidRPr="000B7C2F">
        <w:rPr>
          <w:rFonts w:cs="Traditional Arabic" w:hint="cs"/>
          <w:szCs w:val="30"/>
          <w:rtl/>
          <w:lang w:val="en-US"/>
        </w:rPr>
        <w:t xml:space="preserve"> الأطراف في اجتماعه الثاني عشر للنظر فيه وفي إمكانية اعتماده.</w:t>
      </w:r>
    </w:p>
    <w:p w:rsidR="007E23A8" w:rsidRPr="000B7C2F" w:rsidRDefault="007E23A8" w:rsidP="000B7C2F">
      <w:pPr>
        <w:rPr>
          <w:sz w:val="30"/>
          <w:rtl/>
        </w:rPr>
      </w:pPr>
    </w:p>
    <w:sectPr w:rsidR="007E23A8" w:rsidRPr="000B7C2F" w:rsidSect="0035083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5F8" w:rsidRDefault="000B25F8" w:rsidP="000B25F8">
      <w:r>
        <w:separator/>
      </w:r>
    </w:p>
  </w:endnote>
  <w:endnote w:type="continuationSeparator" w:id="0">
    <w:p w:rsidR="000B25F8" w:rsidRDefault="000B25F8" w:rsidP="000B25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5F8" w:rsidRDefault="000B25F8" w:rsidP="000B25F8">
      <w:r>
        <w:separator/>
      </w:r>
    </w:p>
  </w:footnote>
  <w:footnote w:type="continuationSeparator" w:id="0">
    <w:p w:rsidR="000B25F8" w:rsidRDefault="000B25F8" w:rsidP="000B25F8">
      <w:r>
        <w:continuationSeparator/>
      </w:r>
    </w:p>
  </w:footnote>
  <w:footnote w:id="1">
    <w:p w:rsidR="000B7C2F" w:rsidRPr="003625B5" w:rsidRDefault="000B7C2F" w:rsidP="000B7C2F">
      <w:pPr>
        <w:pStyle w:val="FootnoteText"/>
        <w:spacing w:line="300" w:lineRule="exact"/>
        <w:ind w:left="1132"/>
        <w:jc w:val="both"/>
        <w:rPr>
          <w:rFonts w:cs="Traditional Arabic" w:hint="cs"/>
          <w:szCs w:val="26"/>
          <w:rtl/>
        </w:rPr>
      </w:pPr>
      <w:r w:rsidRPr="003625B5">
        <w:rPr>
          <w:rFonts w:cs="Traditional Arabic"/>
          <w:szCs w:val="26"/>
          <w:rtl/>
        </w:rPr>
        <w:t>(</w:t>
      </w:r>
      <w:r w:rsidRPr="003625B5">
        <w:rPr>
          <w:rStyle w:val="FootnoteReference"/>
          <w:rFonts w:cs="Traditional Arabic"/>
          <w:szCs w:val="26"/>
          <w:rtl/>
        </w:rPr>
        <w:footnoteRef/>
      </w:r>
      <w:r w:rsidRPr="003625B5">
        <w:rPr>
          <w:rFonts w:cs="Traditional Arabic"/>
          <w:szCs w:val="26"/>
          <w:rtl/>
        </w:rPr>
        <w:t>)</w:t>
      </w:r>
      <w:r w:rsidRPr="003625B5">
        <w:rPr>
          <w:rFonts w:cs="Traditional Arabic" w:hint="cs"/>
          <w:szCs w:val="26"/>
          <w:rtl/>
        </w:rPr>
        <w:t xml:space="preserve"> </w:t>
      </w:r>
      <w:r w:rsidRPr="003625B5">
        <w:rPr>
          <w:rFonts w:cs="Traditional Arabic"/>
          <w:szCs w:val="26"/>
        </w:rPr>
        <w:t>.</w:t>
      </w:r>
      <w:r w:rsidRPr="003625B5">
        <w:rPr>
          <w:rFonts w:cs="Traditional Arabic"/>
          <w:szCs w:val="18"/>
        </w:rPr>
        <w:t>UNEP/CHW/OEWG.9/15</w:t>
      </w:r>
    </w:p>
  </w:footnote>
  <w:footnote w:id="2">
    <w:p w:rsidR="000B7C2F" w:rsidRPr="003625B5" w:rsidRDefault="000B7C2F" w:rsidP="000B7C2F">
      <w:pPr>
        <w:pStyle w:val="FootnoteText"/>
        <w:spacing w:line="300" w:lineRule="exact"/>
        <w:ind w:left="1132"/>
        <w:jc w:val="both"/>
        <w:rPr>
          <w:rFonts w:cs="Traditional Arabic" w:hint="cs"/>
          <w:sz w:val="26"/>
          <w:szCs w:val="26"/>
          <w:rtl/>
        </w:rPr>
      </w:pPr>
      <w:r w:rsidRPr="003625B5">
        <w:rPr>
          <w:rFonts w:cs="Traditional Arabic"/>
          <w:szCs w:val="26"/>
          <w:rtl/>
        </w:rPr>
        <w:t>(</w:t>
      </w:r>
      <w:r w:rsidRPr="003625B5">
        <w:rPr>
          <w:rStyle w:val="FootnoteReference"/>
          <w:rFonts w:cs="Traditional Arabic"/>
          <w:szCs w:val="26"/>
          <w:rtl/>
        </w:rPr>
        <w:footnoteRef/>
      </w:r>
      <w:r w:rsidRPr="003625B5">
        <w:rPr>
          <w:rFonts w:cs="Traditional Arabic"/>
          <w:szCs w:val="26"/>
          <w:rtl/>
        </w:rPr>
        <w:t>)</w:t>
      </w:r>
      <w:r w:rsidRPr="003625B5">
        <w:rPr>
          <w:rFonts w:cs="Traditional Arabic"/>
          <w:szCs w:val="18"/>
        </w:rPr>
        <w:t>UNEP/CHW/OEWG.9/INF/20</w:t>
      </w:r>
      <w:r w:rsidRPr="003625B5">
        <w:rPr>
          <w:rFonts w:ascii="Traditional Arabic" w:hAnsi="Traditional Arabic" w:cs="Traditional Arabic"/>
          <w:sz w:val="26"/>
          <w:szCs w:val="26"/>
        </w:rPr>
        <w:t xml:space="preserve"> </w:t>
      </w:r>
      <w:r w:rsidRPr="003625B5">
        <w:rPr>
          <w:rFonts w:cs="Traditional Arabic" w:hint="cs"/>
          <w:sz w:val="26"/>
          <w:szCs w:val="26"/>
          <w:rtl/>
        </w:rPr>
        <w:t>، المرفق الثالث.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556C3"/>
    <w:multiLevelType w:val="multilevel"/>
    <w:tmpl w:val="5B380A66"/>
    <w:lvl w:ilvl="0">
      <w:start w:val="1"/>
      <w:numFmt w:val="decimal"/>
      <w:lvlText w:val="%1."/>
      <w:lvlJc w:val="left"/>
      <w:pPr>
        <w:tabs>
          <w:tab w:val="num" w:pos="568"/>
        </w:tabs>
        <w:ind w:left="1248" w:firstLine="0"/>
      </w:pPr>
      <w:rPr>
        <w:rFonts w:hint="default"/>
        <w:vertAlign w:val="baseline"/>
      </w:rPr>
    </w:lvl>
    <w:lvl w:ilvl="1">
      <w:start w:val="1"/>
      <w:numFmt w:val="lowerLetter"/>
      <w:lvlText w:val="(%2)"/>
      <w:lvlJc w:val="left"/>
      <w:pPr>
        <w:tabs>
          <w:tab w:val="num" w:pos="568"/>
        </w:tabs>
        <w:ind w:left="1248" w:firstLine="567"/>
      </w:pPr>
      <w:rPr>
        <w:rFonts w:hint="default"/>
      </w:rPr>
    </w:lvl>
    <w:lvl w:ilvl="2">
      <w:start w:val="1"/>
      <w:numFmt w:val="lowerRoman"/>
      <w:lvlText w:val="(%3)"/>
      <w:lvlJc w:val="left"/>
      <w:pPr>
        <w:tabs>
          <w:tab w:val="num" w:pos="568"/>
        </w:tabs>
        <w:ind w:left="2949" w:hanging="567"/>
      </w:pPr>
      <w:rPr>
        <w:rFonts w:hint="default"/>
      </w:rPr>
    </w:lvl>
    <w:lvl w:ilvl="3">
      <w:start w:val="1"/>
      <w:numFmt w:val="lowerLetter"/>
      <w:lvlText w:val="%4."/>
      <w:lvlJc w:val="left"/>
      <w:pPr>
        <w:tabs>
          <w:tab w:val="num" w:pos="568"/>
        </w:tabs>
        <w:ind w:left="3516" w:hanging="567"/>
      </w:pPr>
      <w:rPr>
        <w:rFonts w:hint="default"/>
      </w:rPr>
    </w:lvl>
    <w:lvl w:ilvl="4">
      <w:start w:val="1"/>
      <w:numFmt w:val="lowerLetter"/>
      <w:lvlText w:val="%5."/>
      <w:lvlJc w:val="left"/>
      <w:pPr>
        <w:tabs>
          <w:tab w:val="num" w:pos="6549"/>
        </w:tabs>
        <w:ind w:left="6549" w:hanging="360"/>
      </w:pPr>
      <w:rPr>
        <w:rFonts w:hint="default"/>
      </w:rPr>
    </w:lvl>
    <w:lvl w:ilvl="5">
      <w:start w:val="1"/>
      <w:numFmt w:val="lowerRoman"/>
      <w:lvlText w:val="%6."/>
      <w:lvlJc w:val="right"/>
      <w:pPr>
        <w:tabs>
          <w:tab w:val="num" w:pos="7269"/>
        </w:tabs>
        <w:ind w:left="7269" w:hanging="180"/>
      </w:pPr>
      <w:rPr>
        <w:rFonts w:hint="default"/>
      </w:rPr>
    </w:lvl>
    <w:lvl w:ilvl="6">
      <w:start w:val="1"/>
      <w:numFmt w:val="decimal"/>
      <w:lvlText w:val="%7."/>
      <w:lvlJc w:val="left"/>
      <w:pPr>
        <w:tabs>
          <w:tab w:val="num" w:pos="7989"/>
        </w:tabs>
        <w:ind w:left="7989" w:hanging="360"/>
      </w:pPr>
      <w:rPr>
        <w:rFonts w:hint="default"/>
      </w:rPr>
    </w:lvl>
    <w:lvl w:ilvl="7">
      <w:start w:val="1"/>
      <w:numFmt w:val="lowerLetter"/>
      <w:lvlText w:val="%8."/>
      <w:lvlJc w:val="left"/>
      <w:pPr>
        <w:tabs>
          <w:tab w:val="num" w:pos="8709"/>
        </w:tabs>
        <w:ind w:left="8709" w:hanging="360"/>
      </w:pPr>
      <w:rPr>
        <w:rFonts w:hint="default"/>
      </w:rPr>
    </w:lvl>
    <w:lvl w:ilvl="8">
      <w:start w:val="1"/>
      <w:numFmt w:val="lowerRoman"/>
      <w:lvlText w:val="%9."/>
      <w:lvlJc w:val="right"/>
      <w:pPr>
        <w:tabs>
          <w:tab w:val="num" w:pos="9429"/>
        </w:tabs>
        <w:ind w:left="9429" w:hanging="180"/>
      </w:pPr>
      <w:rPr>
        <w:rFonts w:hint="default"/>
      </w:rPr>
    </w:lvl>
  </w:abstractNum>
  <w:abstractNum w:abstractNumId="1">
    <w:nsid w:val="171113A7"/>
    <w:multiLevelType w:val="multilevel"/>
    <w:tmpl w:val="48241D10"/>
    <w:numStyleLink w:val="Normallist"/>
  </w:abstractNum>
  <w:abstractNum w:abstractNumId="2">
    <w:nsid w:val="241442DA"/>
    <w:multiLevelType w:val="hybridMultilevel"/>
    <w:tmpl w:val="ACA00756"/>
    <w:lvl w:ilvl="0" w:tplc="0B02D162">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nsid w:val="306E1DAA"/>
    <w:multiLevelType w:val="hybridMultilevel"/>
    <w:tmpl w:val="90905886"/>
    <w:lvl w:ilvl="0" w:tplc="5DAACE86">
      <w:start w:val="1"/>
      <w:numFmt w:val="decimal"/>
      <w:lvlText w:val="%1-"/>
      <w:lvlJc w:val="left"/>
      <w:pPr>
        <w:ind w:left="394" w:hanging="360"/>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4">
    <w:nsid w:val="307F3DD9"/>
    <w:multiLevelType w:val="multilevel"/>
    <w:tmpl w:val="5436101C"/>
    <w:lvl w:ilvl="0">
      <w:start w:val="1"/>
      <w:numFmt w:val="decimal"/>
      <w:lvlText w:val="%1."/>
      <w:lvlJc w:val="left"/>
      <w:pPr>
        <w:tabs>
          <w:tab w:val="num" w:pos="1191"/>
        </w:tabs>
        <w:ind w:left="1871" w:firstLine="0"/>
      </w:pPr>
      <w:rPr>
        <w:rFonts w:ascii="Times New Roman" w:eastAsia="Times New Roman" w:hAnsi="Times New Roman" w:cs="Times New Roman"/>
        <w:i w:val="0"/>
      </w:rPr>
    </w:lvl>
    <w:lvl w:ilvl="1">
      <w:start w:val="1"/>
      <w:numFmt w:val="lowerLetter"/>
      <w:lvlText w:val="(%2)"/>
      <w:lvlJc w:val="left"/>
      <w:pPr>
        <w:tabs>
          <w:tab w:val="num" w:pos="1191"/>
        </w:tabs>
        <w:ind w:left="1871" w:firstLine="567"/>
      </w:pPr>
      <w:rPr>
        <w:rFonts w:hint="default"/>
      </w:rPr>
    </w:lvl>
    <w:lvl w:ilvl="2">
      <w:start w:val="1"/>
      <w:numFmt w:val="lowerRoman"/>
      <w:lvlText w:val="(%3)"/>
      <w:lvlJc w:val="left"/>
      <w:pPr>
        <w:tabs>
          <w:tab w:val="num" w:pos="1191"/>
        </w:tabs>
        <w:ind w:left="3572" w:hanging="567"/>
      </w:pPr>
      <w:rPr>
        <w:rFonts w:hint="default"/>
      </w:rPr>
    </w:lvl>
    <w:lvl w:ilvl="3">
      <w:start w:val="1"/>
      <w:numFmt w:val="lowerLetter"/>
      <w:lvlText w:val="%4."/>
      <w:lvlJc w:val="left"/>
      <w:pPr>
        <w:tabs>
          <w:tab w:val="num" w:pos="1191"/>
        </w:tabs>
        <w:ind w:left="4139" w:hanging="567"/>
      </w:pPr>
      <w:rPr>
        <w:rFonts w:hint="default"/>
      </w:rPr>
    </w:lvl>
    <w:lvl w:ilvl="4">
      <w:start w:val="1"/>
      <w:numFmt w:val="lowerLetter"/>
      <w:lvlText w:val="%5."/>
      <w:lvlJc w:val="left"/>
      <w:pPr>
        <w:tabs>
          <w:tab w:val="num" w:pos="7172"/>
        </w:tabs>
        <w:ind w:left="7172" w:hanging="360"/>
      </w:pPr>
      <w:rPr>
        <w:rFonts w:hint="default"/>
      </w:rPr>
    </w:lvl>
    <w:lvl w:ilvl="5">
      <w:start w:val="1"/>
      <w:numFmt w:val="lowerRoman"/>
      <w:lvlText w:val="%6."/>
      <w:lvlJc w:val="right"/>
      <w:pPr>
        <w:tabs>
          <w:tab w:val="num" w:pos="7892"/>
        </w:tabs>
        <w:ind w:left="7892" w:hanging="180"/>
      </w:pPr>
      <w:rPr>
        <w:rFonts w:hint="default"/>
      </w:rPr>
    </w:lvl>
    <w:lvl w:ilvl="6">
      <w:start w:val="1"/>
      <w:numFmt w:val="decimal"/>
      <w:lvlText w:val="%7."/>
      <w:lvlJc w:val="left"/>
      <w:pPr>
        <w:tabs>
          <w:tab w:val="num" w:pos="8612"/>
        </w:tabs>
        <w:ind w:left="8612" w:hanging="360"/>
      </w:pPr>
      <w:rPr>
        <w:rFonts w:hint="default"/>
      </w:rPr>
    </w:lvl>
    <w:lvl w:ilvl="7">
      <w:start w:val="1"/>
      <w:numFmt w:val="lowerLetter"/>
      <w:lvlText w:val="%8."/>
      <w:lvlJc w:val="left"/>
      <w:pPr>
        <w:tabs>
          <w:tab w:val="num" w:pos="9332"/>
        </w:tabs>
        <w:ind w:left="9332" w:hanging="360"/>
      </w:pPr>
      <w:rPr>
        <w:rFonts w:hint="default"/>
      </w:rPr>
    </w:lvl>
    <w:lvl w:ilvl="8">
      <w:start w:val="1"/>
      <w:numFmt w:val="lowerRoman"/>
      <w:lvlText w:val="%9."/>
      <w:lvlJc w:val="right"/>
      <w:pPr>
        <w:tabs>
          <w:tab w:val="num" w:pos="10052"/>
        </w:tabs>
        <w:ind w:left="10052" w:hanging="180"/>
      </w:pPr>
      <w:rPr>
        <w:rFonts w:hint="default"/>
      </w:rPr>
    </w:lvl>
  </w:abstractNum>
  <w:abstractNum w:abstractNumId="5">
    <w:nsid w:val="30FD131A"/>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nsid w:val="35E37C56"/>
    <w:multiLevelType w:val="hybridMultilevel"/>
    <w:tmpl w:val="6E1ED5F8"/>
    <w:lvl w:ilvl="0" w:tplc="C9900F68">
      <w:start w:val="1"/>
      <w:numFmt w:val="decimal"/>
      <w:pStyle w:val="NormalNonumber"/>
      <w:lvlText w:val="%1."/>
      <w:lvlJc w:val="left"/>
      <w:pPr>
        <w:ind w:left="1967" w:hanging="360"/>
      </w:pPr>
      <w:rPr>
        <w:rFonts w:ascii="Times New Roman" w:hAnsi="Times New Roman" w:hint="default"/>
        <w:sz w:val="20"/>
      </w:rPr>
    </w:lvl>
    <w:lvl w:ilvl="1" w:tplc="08090019">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483A2339"/>
    <w:multiLevelType w:val="hybridMultilevel"/>
    <w:tmpl w:val="F1B662D0"/>
    <w:lvl w:ilvl="0" w:tplc="3102673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4ACA6491"/>
    <w:multiLevelType w:val="hybridMultilevel"/>
    <w:tmpl w:val="EB828114"/>
    <w:lvl w:ilvl="0" w:tplc="0409000F">
      <w:start w:val="1"/>
      <w:numFmt w:val="decimal"/>
      <w:lvlText w:val="%1."/>
      <w:lvlJc w:val="left"/>
      <w:pPr>
        <w:ind w:left="2856" w:hanging="360"/>
      </w:pPr>
    </w:lvl>
    <w:lvl w:ilvl="1" w:tplc="04090019">
      <w:start w:val="1"/>
      <w:numFmt w:val="lowerLetter"/>
      <w:lvlText w:val="%2."/>
      <w:lvlJc w:val="left"/>
      <w:pPr>
        <w:ind w:left="3576" w:hanging="360"/>
      </w:pPr>
    </w:lvl>
    <w:lvl w:ilvl="2" w:tplc="0409001B" w:tentative="1">
      <w:start w:val="1"/>
      <w:numFmt w:val="lowerRoman"/>
      <w:lvlText w:val="%3."/>
      <w:lvlJc w:val="right"/>
      <w:pPr>
        <w:ind w:left="4296" w:hanging="180"/>
      </w:pPr>
    </w:lvl>
    <w:lvl w:ilvl="3" w:tplc="0409000F" w:tentative="1">
      <w:start w:val="1"/>
      <w:numFmt w:val="decimal"/>
      <w:lvlText w:val="%4."/>
      <w:lvlJc w:val="left"/>
      <w:pPr>
        <w:ind w:left="5016" w:hanging="360"/>
      </w:pPr>
    </w:lvl>
    <w:lvl w:ilvl="4" w:tplc="04090019" w:tentative="1">
      <w:start w:val="1"/>
      <w:numFmt w:val="lowerLetter"/>
      <w:lvlText w:val="%5."/>
      <w:lvlJc w:val="left"/>
      <w:pPr>
        <w:ind w:left="5736" w:hanging="360"/>
      </w:pPr>
    </w:lvl>
    <w:lvl w:ilvl="5" w:tplc="0409001B" w:tentative="1">
      <w:start w:val="1"/>
      <w:numFmt w:val="lowerRoman"/>
      <w:lvlText w:val="%6."/>
      <w:lvlJc w:val="right"/>
      <w:pPr>
        <w:ind w:left="6456" w:hanging="180"/>
      </w:pPr>
    </w:lvl>
    <w:lvl w:ilvl="6" w:tplc="0409000F" w:tentative="1">
      <w:start w:val="1"/>
      <w:numFmt w:val="decimal"/>
      <w:lvlText w:val="%7."/>
      <w:lvlJc w:val="left"/>
      <w:pPr>
        <w:ind w:left="7176" w:hanging="360"/>
      </w:pPr>
    </w:lvl>
    <w:lvl w:ilvl="7" w:tplc="04090019" w:tentative="1">
      <w:start w:val="1"/>
      <w:numFmt w:val="lowerLetter"/>
      <w:lvlText w:val="%8."/>
      <w:lvlJc w:val="left"/>
      <w:pPr>
        <w:ind w:left="7896" w:hanging="360"/>
      </w:pPr>
    </w:lvl>
    <w:lvl w:ilvl="8" w:tplc="0409001B" w:tentative="1">
      <w:start w:val="1"/>
      <w:numFmt w:val="lowerRoman"/>
      <w:lvlText w:val="%9."/>
      <w:lvlJc w:val="right"/>
      <w:pPr>
        <w:ind w:left="8616" w:hanging="180"/>
      </w:pPr>
    </w:lvl>
  </w:abstractNum>
  <w:abstractNum w:abstractNumId="9">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0">
    <w:nsid w:val="56E007DC"/>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1">
    <w:nsid w:val="6D93774D"/>
    <w:multiLevelType w:val="hybridMultilevel"/>
    <w:tmpl w:val="53369346"/>
    <w:lvl w:ilvl="0" w:tplc="5DA627C0">
      <w:start w:val="1"/>
      <w:numFmt w:val="arabicAlpha"/>
      <w:lvlText w:val="(%1)"/>
      <w:lvlJc w:val="left"/>
      <w:pPr>
        <w:ind w:left="3282" w:hanging="720"/>
      </w:pPr>
      <w:rPr>
        <w:rFonts w:hint="default"/>
      </w:rPr>
    </w:lvl>
    <w:lvl w:ilvl="1" w:tplc="04090019" w:tentative="1">
      <w:start w:val="1"/>
      <w:numFmt w:val="lowerLetter"/>
      <w:lvlText w:val="%2."/>
      <w:lvlJc w:val="left"/>
      <w:pPr>
        <w:ind w:left="3642" w:hanging="360"/>
      </w:pPr>
    </w:lvl>
    <w:lvl w:ilvl="2" w:tplc="0409001B" w:tentative="1">
      <w:start w:val="1"/>
      <w:numFmt w:val="lowerRoman"/>
      <w:lvlText w:val="%3."/>
      <w:lvlJc w:val="right"/>
      <w:pPr>
        <w:ind w:left="4362" w:hanging="180"/>
      </w:pPr>
    </w:lvl>
    <w:lvl w:ilvl="3" w:tplc="0409000F" w:tentative="1">
      <w:start w:val="1"/>
      <w:numFmt w:val="decimal"/>
      <w:lvlText w:val="%4."/>
      <w:lvlJc w:val="left"/>
      <w:pPr>
        <w:ind w:left="5082" w:hanging="360"/>
      </w:pPr>
    </w:lvl>
    <w:lvl w:ilvl="4" w:tplc="04090019" w:tentative="1">
      <w:start w:val="1"/>
      <w:numFmt w:val="lowerLetter"/>
      <w:lvlText w:val="%5."/>
      <w:lvlJc w:val="left"/>
      <w:pPr>
        <w:ind w:left="5802" w:hanging="360"/>
      </w:pPr>
    </w:lvl>
    <w:lvl w:ilvl="5" w:tplc="0409001B" w:tentative="1">
      <w:start w:val="1"/>
      <w:numFmt w:val="lowerRoman"/>
      <w:lvlText w:val="%6."/>
      <w:lvlJc w:val="right"/>
      <w:pPr>
        <w:ind w:left="6522" w:hanging="180"/>
      </w:pPr>
    </w:lvl>
    <w:lvl w:ilvl="6" w:tplc="0409000F" w:tentative="1">
      <w:start w:val="1"/>
      <w:numFmt w:val="decimal"/>
      <w:lvlText w:val="%7."/>
      <w:lvlJc w:val="left"/>
      <w:pPr>
        <w:ind w:left="7242" w:hanging="360"/>
      </w:pPr>
    </w:lvl>
    <w:lvl w:ilvl="7" w:tplc="04090019" w:tentative="1">
      <w:start w:val="1"/>
      <w:numFmt w:val="lowerLetter"/>
      <w:lvlText w:val="%8."/>
      <w:lvlJc w:val="left"/>
      <w:pPr>
        <w:ind w:left="7962" w:hanging="360"/>
      </w:pPr>
    </w:lvl>
    <w:lvl w:ilvl="8" w:tplc="0409001B" w:tentative="1">
      <w:start w:val="1"/>
      <w:numFmt w:val="lowerRoman"/>
      <w:lvlText w:val="%9."/>
      <w:lvlJc w:val="right"/>
      <w:pPr>
        <w:ind w:left="8682" w:hanging="180"/>
      </w:pPr>
    </w:lvl>
  </w:abstractNum>
  <w:num w:numId="1">
    <w:abstractNumId w:val="6"/>
  </w:num>
  <w:num w:numId="2">
    <w:abstractNumId w:val="6"/>
  </w:num>
  <w:num w:numId="3">
    <w:abstractNumId w:val="2"/>
  </w:num>
  <w:num w:numId="4">
    <w:abstractNumId w:val="7"/>
  </w:num>
  <w:num w:numId="5">
    <w:abstractNumId w:val="9"/>
  </w:num>
  <w:num w:numId="6">
    <w:abstractNumId w:val="9"/>
    <w:lvlOverride w:ilvl="0">
      <w:lvl w:ilvl="0">
        <w:start w:val="1"/>
        <w:numFmt w:val="decimal"/>
        <w:lvlText w:val="%1."/>
        <w:lvlJc w:val="left"/>
        <w:pPr>
          <w:tabs>
            <w:tab w:val="num" w:pos="1134"/>
          </w:tabs>
          <w:ind w:left="1247" w:firstLine="0"/>
        </w:pPr>
        <w:rPr>
          <w:rFonts w:hint="default"/>
          <w:i w:val="0"/>
        </w:rPr>
      </w:lvl>
    </w:lvlOverride>
  </w:num>
  <w:num w:numId="7">
    <w:abstractNumId w:val="0"/>
  </w:num>
  <w:num w:numId="8">
    <w:abstractNumId w:val="10"/>
  </w:num>
  <w:num w:numId="9">
    <w:abstractNumId w:val="4"/>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3"/>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proofState w:spelling="clean" w:grammar="clean"/>
  <w:defaultTabStop w:val="720"/>
  <w:characterSpacingControl w:val="doNotCompress"/>
  <w:footnotePr>
    <w:footnote w:id="-1"/>
    <w:footnote w:id="0"/>
  </w:footnotePr>
  <w:endnotePr>
    <w:endnote w:id="-1"/>
    <w:endnote w:id="0"/>
  </w:endnotePr>
  <w:compat/>
  <w:rsids>
    <w:rsidRoot w:val="00E3382D"/>
    <w:rsid w:val="00047C8D"/>
    <w:rsid w:val="000718B6"/>
    <w:rsid w:val="000B25F8"/>
    <w:rsid w:val="000B7C2F"/>
    <w:rsid w:val="000D0FAD"/>
    <w:rsid w:val="001B53BC"/>
    <w:rsid w:val="002529E4"/>
    <w:rsid w:val="00281887"/>
    <w:rsid w:val="00327412"/>
    <w:rsid w:val="0035083F"/>
    <w:rsid w:val="003616FC"/>
    <w:rsid w:val="00404267"/>
    <w:rsid w:val="00430E46"/>
    <w:rsid w:val="004F51EC"/>
    <w:rsid w:val="00523046"/>
    <w:rsid w:val="00593817"/>
    <w:rsid w:val="0060272A"/>
    <w:rsid w:val="006343E0"/>
    <w:rsid w:val="0064070F"/>
    <w:rsid w:val="006916A4"/>
    <w:rsid w:val="006A4EEB"/>
    <w:rsid w:val="006D5129"/>
    <w:rsid w:val="0075644B"/>
    <w:rsid w:val="007E23A8"/>
    <w:rsid w:val="00803250"/>
    <w:rsid w:val="00827715"/>
    <w:rsid w:val="0094329B"/>
    <w:rsid w:val="00951E19"/>
    <w:rsid w:val="009A65C1"/>
    <w:rsid w:val="009D4646"/>
    <w:rsid w:val="009F6B9A"/>
    <w:rsid w:val="00A16B8F"/>
    <w:rsid w:val="00A27FB7"/>
    <w:rsid w:val="00A53776"/>
    <w:rsid w:val="00B335C6"/>
    <w:rsid w:val="00BB1008"/>
    <w:rsid w:val="00BF57B2"/>
    <w:rsid w:val="00C46341"/>
    <w:rsid w:val="00C91F17"/>
    <w:rsid w:val="00D07BEE"/>
    <w:rsid w:val="00E3382D"/>
    <w:rsid w:val="00E757CE"/>
    <w:rsid w:val="00F547EB"/>
    <w:rsid w:val="00FB59EB"/>
    <w:rsid w:val="00FD69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0B25F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E3382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paragraph" w:customStyle="1" w:styleId="NormalNonumber">
    <w:name w:val="Normal_No_number"/>
    <w:basedOn w:val="Normal-pool"/>
    <w:rsid w:val="00E3382D"/>
    <w:pPr>
      <w:numPr>
        <w:numId w:val="1"/>
      </w:numPr>
      <w:spacing w:after="120"/>
    </w:pPr>
  </w:style>
  <w:style w:type="character" w:customStyle="1" w:styleId="Normal-poolChar">
    <w:name w:val="Normal-pool Char"/>
    <w:link w:val="Normal-pool"/>
    <w:locked/>
    <w:rsid w:val="00E3382D"/>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
    <w:rsid w:val="000B25F8"/>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footnote text"/>
    <w:basedOn w:val="Normal-pool"/>
    <w:link w:val="FootnoteTextChar"/>
    <w:rsid w:val="000B25F8"/>
    <w:pPr>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0B25F8"/>
    <w:rPr>
      <w:rFonts w:ascii="Times New Roman" w:eastAsia="Times New Roman" w:hAnsi="Times New Roman" w:cs="Times New Roman"/>
      <w:sz w:val="18"/>
      <w:szCs w:val="20"/>
      <w:lang w:val="en-GB"/>
    </w:rPr>
  </w:style>
  <w:style w:type="paragraph" w:customStyle="1" w:styleId="ZZAnxtitle">
    <w:name w:val="ZZ_Anx_title"/>
    <w:basedOn w:val="Normal-pool"/>
    <w:link w:val="ZZAnxtitleChar"/>
    <w:rsid w:val="000B25F8"/>
    <w:pPr>
      <w:spacing w:before="360" w:after="120"/>
      <w:ind w:left="1247"/>
    </w:pPr>
    <w:rPr>
      <w:b/>
      <w:bCs/>
      <w:sz w:val="28"/>
      <w:szCs w:val="26"/>
    </w:rPr>
  </w:style>
  <w:style w:type="character" w:customStyle="1" w:styleId="ZZAnxtitleChar">
    <w:name w:val="ZZ_Anx_title Char"/>
    <w:link w:val="ZZAnxtitle"/>
    <w:rsid w:val="000B25F8"/>
    <w:rPr>
      <w:rFonts w:ascii="Times New Roman" w:eastAsia="Times New Roman" w:hAnsi="Times New Roman" w:cs="Times New Roman"/>
      <w:b/>
      <w:bCs/>
      <w:sz w:val="28"/>
      <w:szCs w:val="26"/>
      <w:lang w:val="en-GB"/>
    </w:rPr>
  </w:style>
  <w:style w:type="paragraph" w:customStyle="1" w:styleId="Subtitle">
    <w:name w:val="Sub title"/>
    <w:basedOn w:val="Heading2"/>
    <w:rsid w:val="000B25F8"/>
    <w:pPr>
      <w:keepLines w:val="0"/>
      <w:tabs>
        <w:tab w:val="clear" w:pos="1247"/>
        <w:tab w:val="clear" w:pos="1814"/>
        <w:tab w:val="clear" w:pos="2381"/>
        <w:tab w:val="clear" w:pos="2948"/>
        <w:tab w:val="clear" w:pos="3515"/>
      </w:tabs>
      <w:spacing w:before="0"/>
      <w:ind w:left="1247"/>
    </w:pPr>
    <w:rPr>
      <w:rFonts w:ascii="Times New Roman" w:eastAsia="Times New Roman" w:hAnsi="Times New Roman" w:cs="Times New Roman"/>
      <w:bCs w:val="0"/>
      <w:color w:val="auto"/>
      <w:sz w:val="24"/>
      <w:szCs w:val="24"/>
    </w:rPr>
  </w:style>
  <w:style w:type="character" w:customStyle="1" w:styleId="Heading2Char">
    <w:name w:val="Heading 2 Char"/>
    <w:basedOn w:val="DefaultParagraphFont"/>
    <w:link w:val="Heading2"/>
    <w:uiPriority w:val="9"/>
    <w:semiHidden/>
    <w:rsid w:val="000B25F8"/>
    <w:rPr>
      <w:rFonts w:asciiTheme="majorHAnsi" w:eastAsiaTheme="majorEastAsia" w:hAnsiTheme="majorHAnsi" w:cstheme="majorBidi"/>
      <w:b/>
      <w:bCs/>
      <w:color w:val="4F81BD" w:themeColor="accent1"/>
      <w:sz w:val="26"/>
      <w:szCs w:val="26"/>
      <w:lang w:val="en-GB"/>
    </w:rPr>
  </w:style>
  <w:style w:type="character" w:customStyle="1" w:styleId="NormalnumberChar">
    <w:name w:val="Normal_number Char"/>
    <w:link w:val="Normalnumber"/>
    <w:rsid w:val="00A16B8F"/>
    <w:rPr>
      <w:lang w:val="en-GB"/>
    </w:rPr>
  </w:style>
  <w:style w:type="numbering" w:customStyle="1" w:styleId="Normallist">
    <w:name w:val="Normal_list"/>
    <w:basedOn w:val="NoList"/>
    <w:rsid w:val="00A16B8F"/>
    <w:pPr>
      <w:numPr>
        <w:numId w:val="5"/>
      </w:numPr>
    </w:pPr>
  </w:style>
  <w:style w:type="paragraph" w:customStyle="1" w:styleId="Normalnumber">
    <w:name w:val="Normal_number"/>
    <w:basedOn w:val="Normal-pool"/>
    <w:link w:val="NormalnumberChar"/>
    <w:rsid w:val="00A16B8F"/>
    <w:pPr>
      <w:spacing w:after="120"/>
    </w:pPr>
    <w:rPr>
      <w:rFonts w:asciiTheme="minorHAnsi" w:eastAsiaTheme="minorHAnsi" w:hAnsiTheme="minorHAnsi" w:cstheme="minorBidi"/>
      <w:sz w:val="22"/>
      <w:szCs w:val="22"/>
    </w:rPr>
  </w:style>
  <w:style w:type="paragraph" w:customStyle="1" w:styleId="StyleNormalnumberItalicBlack">
    <w:name w:val="Style Normal_number + Italic Black"/>
    <w:basedOn w:val="Normalnumber"/>
    <w:link w:val="StyleNormalnumberItalicBlackChar"/>
    <w:rsid w:val="00BB1008"/>
    <w:pPr>
      <w:tabs>
        <w:tab w:val="clear" w:pos="1247"/>
        <w:tab w:val="clear" w:pos="1814"/>
        <w:tab w:val="clear" w:pos="2381"/>
        <w:tab w:val="clear" w:pos="2948"/>
        <w:tab w:val="clear" w:pos="3515"/>
        <w:tab w:val="left" w:pos="624"/>
        <w:tab w:val="num" w:pos="1758"/>
      </w:tabs>
      <w:ind w:left="1871"/>
    </w:pPr>
    <w:rPr>
      <w:rFonts w:ascii="Times New Roman" w:eastAsia="SimSun" w:hAnsi="Times New Roman" w:cs="Times New Roman"/>
      <w:iCs/>
      <w:color w:val="000000"/>
      <w:sz w:val="20"/>
      <w:szCs w:val="20"/>
    </w:rPr>
  </w:style>
  <w:style w:type="character" w:customStyle="1" w:styleId="StyleNormalnumberItalicBlackChar">
    <w:name w:val="Style Normal_number + Italic Black Char"/>
    <w:link w:val="StyleNormalnumberItalicBlack"/>
    <w:rsid w:val="00BB1008"/>
    <w:rPr>
      <w:rFonts w:ascii="Times New Roman" w:eastAsia="SimSun" w:hAnsi="Times New Roman" w:cs="Times New Roman"/>
      <w:iCs/>
      <w:color w:val="000000"/>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1617</Characters>
  <Application>Microsoft Office Word</Application>
  <DocSecurity>0</DocSecurity>
  <Lines>26</Lines>
  <Paragraphs>10</Paragraphs>
  <ScaleCrop>false</ScaleCrop>
  <Company>BRS</Company>
  <LinksUpToDate>false</LinksUpToDate>
  <CharactersWithSpaces>1905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cbottollier</dc:creator>
  <cp:lastModifiedBy>cbottollier</cp:lastModifiedBy>
  <cp:revision>2</cp:revision>
  <dcterms:created xsi:type="dcterms:W3CDTF">2015-09-04T14:55:00Z</dcterms:created>
  <dcterms:modified xsi:type="dcterms:W3CDTF">2015-09-04T14:55:00Z</dcterms:modified>
</cp:coreProperties>
</file>