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BEE" w:rsidRPr="00DB3B6E" w:rsidRDefault="00D07BEE" w:rsidP="00D07BEE">
      <w:pPr>
        <w:keepNext/>
        <w:spacing w:before="240" w:after="120"/>
        <w:ind w:left="1253"/>
        <w:rPr>
          <w:b/>
          <w:sz w:val="28"/>
          <w:szCs w:val="28"/>
          <w:lang w:val="en-US"/>
        </w:rPr>
      </w:pPr>
      <w:r w:rsidRPr="00DB3B6E">
        <w:rPr>
          <w:b/>
          <w:sz w:val="28"/>
          <w:szCs w:val="28"/>
        </w:rPr>
        <w:t>OEWG-</w:t>
      </w:r>
      <w:r>
        <w:rPr>
          <w:b/>
          <w:sz w:val="28"/>
          <w:szCs w:val="28"/>
        </w:rPr>
        <w:t>9</w:t>
      </w:r>
      <w:r w:rsidRPr="00DB3B6E">
        <w:rPr>
          <w:b/>
          <w:sz w:val="28"/>
          <w:szCs w:val="28"/>
        </w:rPr>
        <w:t>/</w:t>
      </w:r>
      <w:r w:rsidRPr="00DB3B6E">
        <w:rPr>
          <w:b/>
          <w:sz w:val="28"/>
          <w:szCs w:val="28"/>
          <w:lang w:eastAsia="ja-JP"/>
        </w:rPr>
        <w:t>8</w:t>
      </w:r>
      <w:r w:rsidRPr="00DB3B6E">
        <w:rPr>
          <w:b/>
          <w:sz w:val="28"/>
          <w:szCs w:val="28"/>
          <w:lang w:val="en-US"/>
        </w:rPr>
        <w:t xml:space="preserve">: </w:t>
      </w:r>
      <w:r w:rsidRPr="009B5ACE">
        <w:rPr>
          <w:b/>
          <w:sz w:val="28"/>
          <w:szCs w:val="28"/>
          <w:lang w:val="en-US"/>
        </w:rPr>
        <w:t>Providing further legal clarity</w:t>
      </w:r>
    </w:p>
    <w:p w:rsidR="00D07BEE" w:rsidRPr="00D95E63" w:rsidRDefault="00D07BEE" w:rsidP="00D07BEE">
      <w:pPr>
        <w:pStyle w:val="NormalNonumber"/>
        <w:numPr>
          <w:ilvl w:val="0"/>
          <w:numId w:val="0"/>
        </w:numPr>
        <w:tabs>
          <w:tab w:val="clear" w:pos="1247"/>
          <w:tab w:val="clear" w:pos="1814"/>
          <w:tab w:val="clear" w:pos="2381"/>
          <w:tab w:val="clear" w:pos="2948"/>
          <w:tab w:val="clear" w:pos="3515"/>
          <w:tab w:val="left" w:pos="624"/>
        </w:tabs>
        <w:ind w:left="1872"/>
      </w:pPr>
      <w:r w:rsidRPr="00D95E63">
        <w:rPr>
          <w:i/>
        </w:rPr>
        <w:t>The Open-ended Working Group</w:t>
      </w:r>
    </w:p>
    <w:p w:rsidR="00D07BEE" w:rsidRDefault="00D07BEE" w:rsidP="00D07BEE">
      <w:pPr>
        <w:pStyle w:val="Normalnumber"/>
        <w:numPr>
          <w:ilvl w:val="0"/>
          <w:numId w:val="10"/>
        </w:numPr>
        <w:tabs>
          <w:tab w:val="clear" w:pos="1247"/>
          <w:tab w:val="clear" w:pos="1814"/>
          <w:tab w:val="clear" w:pos="2381"/>
          <w:tab w:val="clear" w:pos="2948"/>
          <w:tab w:val="clear" w:pos="3515"/>
        </w:tabs>
        <w:ind w:firstLine="643"/>
      </w:pPr>
      <w:r w:rsidRPr="00D95E63">
        <w:rPr>
          <w:i/>
        </w:rPr>
        <w:t>Welcomes</w:t>
      </w:r>
      <w:r w:rsidRPr="00D95E63">
        <w:t xml:space="preserve"> the work undertaken by the small </w:t>
      </w:r>
      <w:proofErr w:type="spellStart"/>
      <w:r w:rsidRPr="00D95E63">
        <w:t>intersessional</w:t>
      </w:r>
      <w:proofErr w:type="spellEnd"/>
      <w:r w:rsidRPr="00D95E63">
        <w:t xml:space="preserve"> working group on legal clarity;</w:t>
      </w:r>
    </w:p>
    <w:p w:rsidR="00D07BEE" w:rsidRDefault="00D07BEE" w:rsidP="00D07BEE">
      <w:pPr>
        <w:pStyle w:val="Normalnumber"/>
        <w:numPr>
          <w:ilvl w:val="0"/>
          <w:numId w:val="10"/>
        </w:numPr>
        <w:tabs>
          <w:tab w:val="clear" w:pos="1247"/>
          <w:tab w:val="clear" w:pos="1814"/>
          <w:tab w:val="clear" w:pos="2381"/>
          <w:tab w:val="clear" w:pos="2948"/>
          <w:tab w:val="clear" w:pos="3515"/>
        </w:tabs>
        <w:ind w:firstLine="624"/>
        <w:rPr>
          <w:color w:val="000000"/>
        </w:rPr>
      </w:pPr>
      <w:r w:rsidRPr="00D95E63">
        <w:rPr>
          <w:i/>
          <w:color w:val="000000"/>
        </w:rPr>
        <w:t xml:space="preserve">Invites </w:t>
      </w:r>
      <w:r w:rsidRPr="00D95E63">
        <w:rPr>
          <w:color w:val="000000"/>
        </w:rPr>
        <w:t xml:space="preserve">additional parties to nominate by 15 October 2014 experts to participate in the small </w:t>
      </w:r>
      <w:proofErr w:type="spellStart"/>
      <w:r w:rsidRPr="00D95E63">
        <w:rPr>
          <w:color w:val="000000"/>
        </w:rPr>
        <w:t>intersessional</w:t>
      </w:r>
      <w:proofErr w:type="spellEnd"/>
      <w:r w:rsidRPr="00D95E63">
        <w:rPr>
          <w:color w:val="000000"/>
        </w:rPr>
        <w:t xml:space="preserve"> working group;</w:t>
      </w:r>
    </w:p>
    <w:p w:rsidR="00D07BEE" w:rsidRPr="009A042A" w:rsidRDefault="00D07BEE" w:rsidP="00D07BEE">
      <w:pPr>
        <w:pStyle w:val="Normalnumber"/>
        <w:numPr>
          <w:ilvl w:val="0"/>
          <w:numId w:val="10"/>
        </w:numPr>
        <w:tabs>
          <w:tab w:val="clear" w:pos="1247"/>
          <w:tab w:val="clear" w:pos="1814"/>
          <w:tab w:val="clear" w:pos="2381"/>
          <w:tab w:val="clear" w:pos="2948"/>
          <w:tab w:val="clear" w:pos="3515"/>
        </w:tabs>
        <w:ind w:firstLine="624"/>
        <w:rPr>
          <w:color w:val="000000"/>
        </w:rPr>
      </w:pPr>
      <w:r w:rsidRPr="00D95E63">
        <w:rPr>
          <w:i/>
          <w:color w:val="000000"/>
        </w:rPr>
        <w:t>Invites</w:t>
      </w:r>
      <w:r w:rsidRPr="00D95E63">
        <w:rPr>
          <w:color w:val="000000"/>
        </w:rPr>
        <w:t xml:space="preserve"> parties and others to submit comments by 31 October 2014 on the definitions and explanations mentioned in the meeting report of </w:t>
      </w:r>
      <w:r>
        <w:rPr>
          <w:color w:val="000000"/>
        </w:rPr>
        <w:t>the ninth meeting of the Open-ended Working Group</w:t>
      </w:r>
      <w:r>
        <w:rPr>
          <w:rStyle w:val="FootnoteReference"/>
        </w:rPr>
        <w:footnoteReference w:id="1"/>
      </w:r>
      <w:r>
        <w:rPr>
          <w:color w:val="000000"/>
        </w:rPr>
        <w:t xml:space="preserve"> </w:t>
      </w:r>
      <w:r w:rsidRPr="007D6483">
        <w:rPr>
          <w:color w:val="000000"/>
        </w:rPr>
        <w:t xml:space="preserve">and on </w:t>
      </w:r>
      <w:r w:rsidRPr="009A042A">
        <w:rPr>
          <w:color w:val="000000"/>
        </w:rPr>
        <w:t xml:space="preserve">the </w:t>
      </w:r>
      <w:r>
        <w:rPr>
          <w:color w:val="000000"/>
        </w:rPr>
        <w:t>options for further steps towards the consistent interpretation of terminology, including possible voluntary and legally binding options;</w:t>
      </w:r>
      <w:r w:rsidRPr="009A042A">
        <w:rPr>
          <w:rStyle w:val="FootnoteReference"/>
        </w:rPr>
        <w:footnoteReference w:id="2"/>
      </w:r>
    </w:p>
    <w:p w:rsidR="00D07BEE" w:rsidRDefault="00D07BEE" w:rsidP="00D07BEE">
      <w:pPr>
        <w:pStyle w:val="Normalnumber"/>
        <w:numPr>
          <w:ilvl w:val="0"/>
          <w:numId w:val="10"/>
        </w:numPr>
        <w:tabs>
          <w:tab w:val="clear" w:pos="1247"/>
          <w:tab w:val="clear" w:pos="1814"/>
          <w:tab w:val="clear" w:pos="2381"/>
          <w:tab w:val="clear" w:pos="2948"/>
          <w:tab w:val="clear" w:pos="3515"/>
        </w:tabs>
        <w:ind w:firstLine="624"/>
        <w:rPr>
          <w:color w:val="000000"/>
        </w:rPr>
      </w:pPr>
      <w:r w:rsidRPr="00CF15BE">
        <w:rPr>
          <w:i/>
          <w:color w:val="000000"/>
        </w:rPr>
        <w:t>Invites</w:t>
      </w:r>
      <w:r w:rsidRPr="00CF15BE">
        <w:rPr>
          <w:color w:val="000000"/>
        </w:rPr>
        <w:t xml:space="preserve"> the small </w:t>
      </w:r>
      <w:proofErr w:type="spellStart"/>
      <w:r w:rsidRPr="00CF15BE">
        <w:rPr>
          <w:color w:val="000000"/>
        </w:rPr>
        <w:t>intersessional</w:t>
      </w:r>
      <w:proofErr w:type="spellEnd"/>
      <w:r w:rsidRPr="00CF15BE">
        <w:rPr>
          <w:color w:val="000000"/>
        </w:rPr>
        <w:t xml:space="preserve"> working group on legal clarity to prepare a revised version of the </w:t>
      </w:r>
      <w:r>
        <w:rPr>
          <w:color w:val="000000"/>
        </w:rPr>
        <w:t xml:space="preserve">draft </w:t>
      </w:r>
      <w:r w:rsidRPr="00CF15BE">
        <w:rPr>
          <w:color w:val="000000"/>
        </w:rPr>
        <w:t xml:space="preserve">glossary including explanations, taking into account the comments received from parties and others as well as the deliberations of the </w:t>
      </w:r>
      <w:r>
        <w:rPr>
          <w:color w:val="000000"/>
        </w:rPr>
        <w:t>Open-ended Working Group at its ninth meeting</w:t>
      </w:r>
      <w:r w:rsidRPr="00CF15BE">
        <w:rPr>
          <w:color w:val="000000"/>
        </w:rPr>
        <w:t>, as reflected in the report</w:t>
      </w:r>
      <w:r>
        <w:rPr>
          <w:color w:val="000000"/>
        </w:rPr>
        <w:t xml:space="preserve"> of that meeting</w:t>
      </w:r>
      <w:r w:rsidRPr="00CF15BE">
        <w:rPr>
          <w:color w:val="000000"/>
        </w:rPr>
        <w:t xml:space="preserve">, and coordinating as appropriate with the </w:t>
      </w:r>
      <w:r>
        <w:rPr>
          <w:color w:val="000000"/>
        </w:rPr>
        <w:t>expert working group</w:t>
      </w:r>
      <w:r w:rsidRPr="00CF15BE">
        <w:rPr>
          <w:color w:val="000000"/>
        </w:rPr>
        <w:t xml:space="preserve"> on </w:t>
      </w:r>
      <w:r>
        <w:rPr>
          <w:color w:val="000000"/>
        </w:rPr>
        <w:t>environmentally sound management;</w:t>
      </w:r>
    </w:p>
    <w:p w:rsidR="00D07BEE" w:rsidRDefault="00D07BEE" w:rsidP="00D07BEE">
      <w:pPr>
        <w:pStyle w:val="Normalnumber"/>
        <w:numPr>
          <w:ilvl w:val="0"/>
          <w:numId w:val="10"/>
        </w:numPr>
        <w:tabs>
          <w:tab w:val="clear" w:pos="1247"/>
          <w:tab w:val="clear" w:pos="1814"/>
          <w:tab w:val="clear" w:pos="2381"/>
          <w:tab w:val="clear" w:pos="2948"/>
          <w:tab w:val="clear" w:pos="3515"/>
        </w:tabs>
        <w:ind w:firstLine="624"/>
        <w:rPr>
          <w:color w:val="000000"/>
        </w:rPr>
      </w:pPr>
      <w:r w:rsidRPr="00CF15BE">
        <w:rPr>
          <w:i/>
          <w:color w:val="000000"/>
        </w:rPr>
        <w:t>Also invites</w:t>
      </w:r>
      <w:r w:rsidRPr="00CF15BE">
        <w:rPr>
          <w:color w:val="000000"/>
        </w:rPr>
        <w:t xml:space="preserve"> the small </w:t>
      </w:r>
      <w:proofErr w:type="spellStart"/>
      <w:r w:rsidRPr="00CF15BE">
        <w:rPr>
          <w:color w:val="000000"/>
        </w:rPr>
        <w:t>intersessional</w:t>
      </w:r>
      <w:proofErr w:type="spellEnd"/>
      <w:r w:rsidRPr="00CF15BE">
        <w:rPr>
          <w:color w:val="000000"/>
        </w:rPr>
        <w:t xml:space="preserve"> working group to develop </w:t>
      </w:r>
      <w:r w:rsidRPr="00D95E63">
        <w:t xml:space="preserve">recommendations on where further guidance would be useful, on whether any terms defined in previously adopted technical guidelines and guidance documents as well as the framework </w:t>
      </w:r>
      <w:r w:rsidRPr="00C843B1">
        <w:rPr>
          <w:color w:val="000000"/>
        </w:rPr>
        <w:t>for</w:t>
      </w:r>
      <w:r w:rsidRPr="00D95E63">
        <w:t xml:space="preserve"> the environmentally sound management of hazardous wastes and other wastes n</w:t>
      </w:r>
      <w:r>
        <w:t xml:space="preserve">eed to be updated as a result, </w:t>
      </w:r>
      <w:r w:rsidRPr="00D95E63">
        <w:t>and on options for further steps towards the consistent interpretation of terminology</w:t>
      </w:r>
      <w:r>
        <w:t>;</w:t>
      </w:r>
    </w:p>
    <w:p w:rsidR="00D07BEE" w:rsidRPr="00944AFA" w:rsidRDefault="00D07BEE" w:rsidP="00D07BEE">
      <w:pPr>
        <w:pStyle w:val="Normalnumber"/>
        <w:numPr>
          <w:ilvl w:val="0"/>
          <w:numId w:val="10"/>
        </w:numPr>
        <w:tabs>
          <w:tab w:val="clear" w:pos="1247"/>
          <w:tab w:val="clear" w:pos="1814"/>
          <w:tab w:val="clear" w:pos="2381"/>
          <w:tab w:val="clear" w:pos="2948"/>
          <w:tab w:val="clear" w:pos="3515"/>
        </w:tabs>
        <w:ind w:firstLine="624"/>
        <w:rPr>
          <w:color w:val="000000"/>
        </w:rPr>
      </w:pPr>
      <w:r w:rsidRPr="00CF15BE">
        <w:rPr>
          <w:i/>
          <w:color w:val="000000"/>
        </w:rPr>
        <w:t>F</w:t>
      </w:r>
      <w:r>
        <w:rPr>
          <w:i/>
          <w:color w:val="000000"/>
        </w:rPr>
        <w:t xml:space="preserve">urther </w:t>
      </w:r>
      <w:r w:rsidRPr="00CF15BE">
        <w:rPr>
          <w:i/>
          <w:color w:val="000000"/>
        </w:rPr>
        <w:t>invites</w:t>
      </w:r>
      <w:r>
        <w:rPr>
          <w:color w:val="000000"/>
        </w:rPr>
        <w:t xml:space="preserve"> the</w:t>
      </w:r>
      <w:r w:rsidRPr="00CF15BE">
        <w:rPr>
          <w:color w:val="000000"/>
        </w:rPr>
        <w:t xml:space="preserve"> small </w:t>
      </w:r>
      <w:proofErr w:type="spellStart"/>
      <w:r w:rsidRPr="00CF15BE">
        <w:rPr>
          <w:color w:val="000000"/>
        </w:rPr>
        <w:t>intersessional</w:t>
      </w:r>
      <w:proofErr w:type="spellEnd"/>
      <w:r w:rsidRPr="00CF15BE">
        <w:rPr>
          <w:color w:val="000000"/>
        </w:rPr>
        <w:t xml:space="preserve"> working group to submit the revised glossary of terms including explanations</w:t>
      </w:r>
      <w:r>
        <w:rPr>
          <w:color w:val="000000"/>
        </w:rPr>
        <w:t xml:space="preserve"> and</w:t>
      </w:r>
      <w:r w:rsidRPr="00CF15BE">
        <w:rPr>
          <w:color w:val="000000"/>
        </w:rPr>
        <w:t xml:space="preserve"> the </w:t>
      </w:r>
      <w:r w:rsidRPr="00D95E63">
        <w:t xml:space="preserve">recommendations on where further guidance would be useful, on whether any terms defined in previously adopted technical guidelines and guidance documents as well as the framework for the environmentally sound management of hazardous wastes and other wastes need to be updated as a result and on options for further steps towards the consistent interpretation of terminology </w:t>
      </w:r>
      <w:r w:rsidRPr="00CF15BE">
        <w:rPr>
          <w:color w:val="000000"/>
        </w:rPr>
        <w:t>to the C</w:t>
      </w:r>
      <w:r>
        <w:rPr>
          <w:color w:val="000000"/>
        </w:rPr>
        <w:t xml:space="preserve">onference of the Parties at its twelfth meeting </w:t>
      </w:r>
      <w:r w:rsidRPr="00CF15BE">
        <w:rPr>
          <w:color w:val="000000"/>
        </w:rPr>
        <w:t>for its consideration and possible adoption.</w:t>
      </w:r>
    </w:p>
    <w:p w:rsidR="000B25F8" w:rsidRPr="00D07BEE" w:rsidRDefault="000B25F8" w:rsidP="00D07BEE"/>
    <w:sectPr w:rsidR="000B25F8" w:rsidRPr="00D07BEE"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D07BEE" w:rsidRPr="004F4A37" w:rsidRDefault="00D07BEE" w:rsidP="00D07BEE">
      <w:pPr>
        <w:pStyle w:val="FootnoteText"/>
        <w:rPr>
          <w:szCs w:val="18"/>
          <w:lang w:val="en-US"/>
        </w:rPr>
      </w:pPr>
      <w:r w:rsidRPr="004F4A37">
        <w:rPr>
          <w:rStyle w:val="FootnoteReference"/>
        </w:rPr>
        <w:footnoteRef/>
      </w:r>
      <w:r w:rsidRPr="004F4A37">
        <w:rPr>
          <w:szCs w:val="18"/>
        </w:rPr>
        <w:t xml:space="preserve"> </w:t>
      </w:r>
      <w:r w:rsidRPr="004F4A37">
        <w:rPr>
          <w:szCs w:val="18"/>
          <w:lang w:val="en-US"/>
        </w:rPr>
        <w:t>UNEP/CHW/OEWG.9/15</w:t>
      </w:r>
      <w:r>
        <w:rPr>
          <w:szCs w:val="18"/>
          <w:lang w:val="en-US"/>
        </w:rPr>
        <w:t>.</w:t>
      </w:r>
    </w:p>
  </w:footnote>
  <w:footnote w:id="2">
    <w:p w:rsidR="00D07BEE" w:rsidRPr="009A042A" w:rsidRDefault="00D07BEE" w:rsidP="00D07BEE">
      <w:pPr>
        <w:pStyle w:val="FootnoteText"/>
        <w:rPr>
          <w:lang w:val="en-US"/>
        </w:rPr>
      </w:pPr>
      <w:r w:rsidRPr="009A042A">
        <w:rPr>
          <w:rStyle w:val="FootnoteReference"/>
        </w:rPr>
        <w:footnoteRef/>
      </w:r>
      <w:r w:rsidRPr="009A042A">
        <w:rPr>
          <w:lang w:val="en-US"/>
        </w:rPr>
        <w:t xml:space="preserve"> </w:t>
      </w:r>
      <w:r w:rsidRPr="009A042A">
        <w:rPr>
          <w:color w:val="000000"/>
          <w:lang w:val="en-US"/>
        </w:rPr>
        <w:t>UNEP/CHW/OEWG.9/INF/20</w:t>
      </w:r>
      <w:r>
        <w:rPr>
          <w:color w:val="000000"/>
          <w:lang w:val="en-US"/>
        </w:rPr>
        <w:t>, annex III.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3">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5">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6">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7">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4"/>
  </w:num>
  <w:num w:numId="2">
    <w:abstractNumId w:val="4"/>
  </w:num>
  <w:num w:numId="3">
    <w:abstractNumId w:val="1"/>
  </w:num>
  <w:num w:numId="4">
    <w:abstractNumId w:val="5"/>
  </w:num>
  <w:num w:numId="5">
    <w:abstractNumId w:val="6"/>
  </w:num>
  <w:num w:numId="6">
    <w:abstractNumId w:val="6"/>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7"/>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718B6"/>
    <w:rsid w:val="000B25F8"/>
    <w:rsid w:val="0035083F"/>
    <w:rsid w:val="003616FC"/>
    <w:rsid w:val="00430E46"/>
    <w:rsid w:val="00523046"/>
    <w:rsid w:val="006343E0"/>
    <w:rsid w:val="006D5129"/>
    <w:rsid w:val="00827715"/>
    <w:rsid w:val="00951E19"/>
    <w:rsid w:val="009A65C1"/>
    <w:rsid w:val="009F6B9A"/>
    <w:rsid w:val="00A16B8F"/>
    <w:rsid w:val="00BF57B2"/>
    <w:rsid w:val="00C91F17"/>
    <w:rsid w:val="00D07BEE"/>
    <w:rsid w:val="00E3382D"/>
    <w:rsid w:val="00FB59E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310</Words>
  <Characters>1783</Characters>
  <Application>Microsoft Office Word</Application>
  <DocSecurity>0</DocSecurity>
  <Lines>27</Lines>
  <Paragraphs>8</Paragraphs>
  <ScaleCrop>false</ScaleCrop>
  <Company>BRS</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2015-09-04T14:22:00Z</dcterms:created>
  <dcterms:modified xsi:type="dcterms:W3CDTF">2015-09-04T14:22:00Z</dcterms:modified>
</cp:coreProperties>
</file>