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BA" w:rsidRPr="00275FBA" w:rsidRDefault="00275FBA" w:rsidP="00275FBA">
      <w:pPr>
        <w:ind w:left="1247" w:right="284"/>
        <w:rPr>
          <w:b/>
          <w:sz w:val="28"/>
          <w:szCs w:val="28"/>
        </w:rPr>
      </w:pPr>
      <w:r w:rsidRPr="00275FBA">
        <w:rPr>
          <w:b/>
          <w:sz w:val="28"/>
          <w:szCs w:val="28"/>
        </w:rPr>
        <w:t>РГОС-9/8: Обеспечение большей юридической четкости</w:t>
      </w:r>
    </w:p>
    <w:p w:rsidR="00275FBA" w:rsidRPr="00275FBA" w:rsidRDefault="00275FBA" w:rsidP="00275FBA">
      <w:pPr>
        <w:ind w:left="1248" w:firstLine="624"/>
        <w:rPr>
          <w:i/>
        </w:rPr>
      </w:pPr>
      <w:r w:rsidRPr="00275FBA">
        <w:rPr>
          <w:i/>
        </w:rPr>
        <w:t>Рабочая группа открытого состава</w:t>
      </w:r>
    </w:p>
    <w:p w:rsidR="00275FBA" w:rsidRPr="00275FBA" w:rsidRDefault="00275FBA" w:rsidP="00275FBA">
      <w:pPr>
        <w:ind w:left="1248" w:firstLine="624"/>
        <w:rPr>
          <w:color w:val="000000"/>
        </w:rPr>
      </w:pPr>
      <w:r w:rsidRPr="00275FBA">
        <w:rPr>
          <w:iCs/>
        </w:rPr>
        <w:t>1.</w:t>
      </w:r>
      <w:r w:rsidRPr="00275FBA">
        <w:tab/>
      </w:r>
      <w:r w:rsidRPr="00275FBA">
        <w:rPr>
          <w:i/>
        </w:rPr>
        <w:t>приветствует</w:t>
      </w:r>
      <w:r w:rsidRPr="00275FBA">
        <w:t xml:space="preserve"> работу, проделанную небольшой межсессионной рабочей группой по юридической четкости;</w:t>
      </w:r>
    </w:p>
    <w:p w:rsidR="00275FBA" w:rsidRPr="00275FBA" w:rsidRDefault="00275FBA" w:rsidP="00275FBA">
      <w:pPr>
        <w:ind w:left="1247" w:firstLine="624"/>
      </w:pPr>
      <w:r w:rsidRPr="00275FBA">
        <w:t>2.</w:t>
      </w:r>
      <w:r w:rsidRPr="00275FBA">
        <w:tab/>
      </w:r>
      <w:r w:rsidRPr="00275FBA">
        <w:rPr>
          <w:i/>
        </w:rPr>
        <w:t>предлагает</w:t>
      </w:r>
      <w:r w:rsidRPr="00275FBA">
        <w:t xml:space="preserve"> дополнительным Сторонам выдвинуть к 15 октября 2014 года кандидатуры экспертов для участия в работе небольшой межсессионной рабочей группы;</w:t>
      </w:r>
    </w:p>
    <w:p w:rsidR="00275FBA" w:rsidRPr="00275FBA" w:rsidRDefault="00275FBA" w:rsidP="00275FBA">
      <w:pPr>
        <w:ind w:left="1247" w:firstLine="624"/>
      </w:pPr>
      <w:r w:rsidRPr="00275FBA">
        <w:t>3.</w:t>
      </w:r>
      <w:r w:rsidRPr="00275FBA">
        <w:tab/>
      </w:r>
      <w:r w:rsidRPr="00275FBA">
        <w:rPr>
          <w:i/>
        </w:rPr>
        <w:t>предлагает</w:t>
      </w:r>
      <w:r w:rsidRPr="00275FBA">
        <w:t xml:space="preserve"> Сторонам и другим субъектам представить к 31 октября 2014 года замечания относительно определений и разъяснений, упомянутых в докладе о работе девятого совещания Рабочей группы открытого состава</w:t>
      </w:r>
      <w:r w:rsidRPr="00275FBA">
        <w:rPr>
          <w:vertAlign w:val="superscript"/>
        </w:rPr>
        <w:footnoteReference w:id="1"/>
      </w:r>
      <w:r w:rsidRPr="00275FBA">
        <w:t>, и относительно вариантов дальнейших шагов в направлении согласованного толкования терминологии, включая возможные факультативные и юридические связывающие варианты</w:t>
      </w:r>
      <w:r w:rsidRPr="00275FBA">
        <w:rPr>
          <w:vertAlign w:val="superscript"/>
        </w:rPr>
        <w:footnoteReference w:id="2"/>
      </w:r>
      <w:r w:rsidRPr="00275FBA">
        <w:t>;</w:t>
      </w:r>
    </w:p>
    <w:p w:rsidR="00275FBA" w:rsidRPr="00275FBA" w:rsidRDefault="00275FBA" w:rsidP="00275FBA">
      <w:pPr>
        <w:ind w:left="1247" w:firstLine="624"/>
      </w:pPr>
      <w:r w:rsidRPr="00275FBA">
        <w:t>4.</w:t>
      </w:r>
      <w:r w:rsidRPr="00275FBA">
        <w:tab/>
      </w:r>
      <w:r w:rsidRPr="00275FBA">
        <w:rPr>
          <w:i/>
        </w:rPr>
        <w:t>предлагает</w:t>
      </w:r>
      <w:r w:rsidRPr="00275FBA">
        <w:t xml:space="preserve"> небольшой межсессионной рабочей группе по обеспечению юридической четкости подготовить пересмотренный вариант проекта глоссария, включая разъяснения, принимая во внимание замечания, полученные от Сторон и других субъектов, а также обсуждения Рабочей группы открытого состава на ее девятом совещании, отраженные в докладе о работе этого совещания, и, когда это целесообразно, координируя свои действия с рабочей группой экспертов по экологически обоснованному регулированию;</w:t>
      </w:r>
    </w:p>
    <w:p w:rsidR="00275FBA" w:rsidRPr="00275FBA" w:rsidRDefault="00275FBA" w:rsidP="00275FBA">
      <w:pPr>
        <w:ind w:left="1247" w:firstLine="624"/>
      </w:pPr>
      <w:r w:rsidRPr="00275FBA">
        <w:t>5.</w:t>
      </w:r>
      <w:r w:rsidRPr="00275FBA">
        <w:tab/>
      </w:r>
      <w:r w:rsidRPr="00275FBA">
        <w:rPr>
          <w:i/>
        </w:rPr>
        <w:t>предлагает также</w:t>
      </w:r>
      <w:r w:rsidRPr="00275FBA">
        <w:t xml:space="preserve"> небольшой межсессионной рабочей группе разработать рекомендации относительно того, по каким вопросам было бы полезно сформулировать дополнительные руководящие указания, и относительно того, не потребуется ли в результате этого обновить какие-либо термины, определенные в принятых ранее технических руководящих принципах и руководящих документах и в рамках экологически обоснованного регулирования опасных и других отходов, а также относительно вариантов дальнейших мер по обеспечению согласованного толкования терминологии;</w:t>
      </w:r>
    </w:p>
    <w:p w:rsidR="00275FBA" w:rsidRPr="00275FBA" w:rsidRDefault="00275FBA" w:rsidP="00275FBA">
      <w:pPr>
        <w:spacing w:after="240"/>
        <w:ind w:left="1247" w:firstLine="624"/>
      </w:pPr>
      <w:r w:rsidRPr="00275FBA">
        <w:t>6.</w:t>
      </w:r>
      <w:r w:rsidRPr="00275FBA">
        <w:tab/>
      </w:r>
      <w:r w:rsidRPr="00275FBA">
        <w:rPr>
          <w:i/>
        </w:rPr>
        <w:t>предлагает далее</w:t>
      </w:r>
      <w:r w:rsidRPr="00275FBA">
        <w:t xml:space="preserve"> небольшой межсессионной рабочей группе представить пересмотренный глоссарий терминов, включая разъяснения и рекомендации относительно того, по каким вопросам было бы полезно сформулировать дальнейшие руководящие указания, относительно того, не потребуется ли в результате этого обновить какие-либо термины, определенные в принятых ранее технических руководящих принципах и руководящих документах, а также в рамках экологически обоснованного регулирования опасных и других отходов, и относительно вариантов дальнейших мер по обеспечению согласованного толкования терминологии, Конференции Сторон на ее двенадцатом совещании для рассмотрения и возможного утверждения.</w:t>
      </w:r>
    </w:p>
    <w:p w:rsidR="006C2D58" w:rsidRPr="00275FBA" w:rsidRDefault="006C2D58" w:rsidP="00275FBA"/>
    <w:sectPr w:rsidR="006C2D58" w:rsidRPr="00275FBA" w:rsidSect="006C2D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70A" w:rsidRDefault="0055770A" w:rsidP="0055770A">
      <w:pPr>
        <w:spacing w:after="0"/>
      </w:pPr>
      <w:r>
        <w:separator/>
      </w:r>
    </w:p>
  </w:endnote>
  <w:endnote w:type="continuationSeparator" w:id="0">
    <w:p w:rsidR="0055770A" w:rsidRDefault="0055770A" w:rsidP="0055770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70A" w:rsidRDefault="0055770A" w:rsidP="0055770A">
      <w:pPr>
        <w:spacing w:after="0"/>
      </w:pPr>
      <w:r>
        <w:separator/>
      </w:r>
    </w:p>
  </w:footnote>
  <w:footnote w:type="continuationSeparator" w:id="0">
    <w:p w:rsidR="0055770A" w:rsidRDefault="0055770A" w:rsidP="0055770A">
      <w:pPr>
        <w:spacing w:after="0"/>
      </w:pPr>
      <w:r>
        <w:continuationSeparator/>
      </w:r>
    </w:p>
  </w:footnote>
  <w:footnote w:id="1">
    <w:p w:rsidR="00275FBA" w:rsidRPr="00D63188" w:rsidRDefault="00275FBA" w:rsidP="00275FBA">
      <w:pPr>
        <w:pStyle w:val="FootnoteText"/>
        <w:spacing w:before="20" w:after="40"/>
        <w:ind w:left="1247"/>
        <w:rPr>
          <w:sz w:val="18"/>
          <w:szCs w:val="18"/>
        </w:rPr>
      </w:pPr>
      <w:r w:rsidRPr="00D63188">
        <w:rPr>
          <w:rStyle w:val="FootnoteReference"/>
          <w:sz w:val="18"/>
          <w:szCs w:val="18"/>
        </w:rPr>
        <w:footnoteRef/>
      </w:r>
      <w:r w:rsidRPr="00D63188">
        <w:rPr>
          <w:sz w:val="18"/>
          <w:szCs w:val="18"/>
        </w:rPr>
        <w:tab/>
      </w:r>
      <w:r w:rsidRPr="00D63188">
        <w:rPr>
          <w:rStyle w:val="DeltaViewInsertion"/>
          <w:sz w:val="18"/>
          <w:szCs w:val="18"/>
          <w:lang w:val="en-US"/>
        </w:rPr>
        <w:t>UNEP</w:t>
      </w:r>
      <w:r w:rsidRPr="00D63188">
        <w:rPr>
          <w:rStyle w:val="DeltaViewInsertion"/>
          <w:sz w:val="18"/>
          <w:szCs w:val="18"/>
        </w:rPr>
        <w:t>/</w:t>
      </w:r>
      <w:r w:rsidRPr="00D63188">
        <w:rPr>
          <w:rStyle w:val="DeltaViewInsertion"/>
          <w:sz w:val="18"/>
          <w:szCs w:val="18"/>
          <w:lang w:val="en-US"/>
        </w:rPr>
        <w:t>CHW</w:t>
      </w:r>
      <w:r w:rsidRPr="00D63188">
        <w:rPr>
          <w:rStyle w:val="DeltaViewInsertion"/>
          <w:sz w:val="18"/>
          <w:szCs w:val="18"/>
        </w:rPr>
        <w:t>/</w:t>
      </w:r>
      <w:r w:rsidRPr="00D63188">
        <w:rPr>
          <w:rStyle w:val="DeltaViewInsertion"/>
          <w:sz w:val="18"/>
          <w:szCs w:val="18"/>
          <w:lang w:val="en-US"/>
        </w:rPr>
        <w:t>OEWG</w:t>
      </w:r>
      <w:r w:rsidRPr="00D63188">
        <w:rPr>
          <w:rStyle w:val="DeltaViewInsertion"/>
          <w:sz w:val="18"/>
          <w:szCs w:val="18"/>
        </w:rPr>
        <w:t>.9/15.</w:t>
      </w:r>
    </w:p>
  </w:footnote>
  <w:footnote w:id="2">
    <w:p w:rsidR="00275FBA" w:rsidRPr="00D63188" w:rsidRDefault="00275FBA" w:rsidP="00275FBA">
      <w:pPr>
        <w:pStyle w:val="FootnoteText"/>
        <w:spacing w:before="20" w:after="40"/>
        <w:ind w:left="1247"/>
        <w:rPr>
          <w:sz w:val="18"/>
          <w:szCs w:val="18"/>
        </w:rPr>
      </w:pPr>
      <w:r w:rsidRPr="00D63188">
        <w:rPr>
          <w:rStyle w:val="FootnoteReference"/>
          <w:sz w:val="18"/>
          <w:szCs w:val="18"/>
        </w:rPr>
        <w:footnoteRef/>
      </w:r>
      <w:r w:rsidRPr="00D63188">
        <w:rPr>
          <w:sz w:val="18"/>
          <w:szCs w:val="18"/>
        </w:rPr>
        <w:tab/>
      </w:r>
      <w:r w:rsidRPr="00D63188">
        <w:rPr>
          <w:rStyle w:val="DeltaViewInsertion"/>
          <w:sz w:val="18"/>
          <w:szCs w:val="18"/>
          <w:lang w:val="en-US"/>
        </w:rPr>
        <w:t>UNEP</w:t>
      </w:r>
      <w:r w:rsidRPr="00D63188">
        <w:rPr>
          <w:rStyle w:val="DeltaViewInsertion"/>
          <w:sz w:val="18"/>
          <w:szCs w:val="18"/>
        </w:rPr>
        <w:t>/</w:t>
      </w:r>
      <w:r w:rsidRPr="00D63188">
        <w:rPr>
          <w:rStyle w:val="DeltaViewInsertion"/>
          <w:sz w:val="18"/>
          <w:szCs w:val="18"/>
          <w:lang w:val="en-US"/>
        </w:rPr>
        <w:t>CHW</w:t>
      </w:r>
      <w:r w:rsidRPr="00D63188">
        <w:rPr>
          <w:rStyle w:val="DeltaViewInsertion"/>
          <w:sz w:val="18"/>
          <w:szCs w:val="18"/>
        </w:rPr>
        <w:t>/</w:t>
      </w:r>
      <w:r w:rsidRPr="00D63188">
        <w:rPr>
          <w:rStyle w:val="DeltaViewInsertion"/>
          <w:sz w:val="18"/>
          <w:szCs w:val="18"/>
          <w:lang w:val="en-US"/>
        </w:rPr>
        <w:t>OEWG</w:t>
      </w:r>
      <w:r w:rsidRPr="00D63188">
        <w:rPr>
          <w:rStyle w:val="DeltaViewInsertion"/>
          <w:sz w:val="18"/>
          <w:szCs w:val="18"/>
        </w:rPr>
        <w:t>.9/</w:t>
      </w:r>
      <w:r w:rsidRPr="00D63188">
        <w:rPr>
          <w:rStyle w:val="DeltaViewInsertion"/>
          <w:sz w:val="18"/>
          <w:szCs w:val="18"/>
          <w:lang w:val="en-US"/>
        </w:rPr>
        <w:t>INF</w:t>
      </w:r>
      <w:r w:rsidRPr="00D63188">
        <w:rPr>
          <w:rStyle w:val="DeltaViewInsertion"/>
          <w:sz w:val="18"/>
          <w:szCs w:val="18"/>
        </w:rPr>
        <w:t xml:space="preserve">/20, приложение </w:t>
      </w:r>
      <w:r w:rsidRPr="00D63188">
        <w:rPr>
          <w:rStyle w:val="DeltaViewInsertion"/>
          <w:sz w:val="18"/>
          <w:szCs w:val="18"/>
          <w:lang w:val="en-US"/>
        </w:rPr>
        <w:t>III</w:t>
      </w:r>
      <w:r w:rsidRPr="00D63188">
        <w:rPr>
          <w:rStyle w:val="DeltaViewInsertion"/>
          <w:sz w:val="18"/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A21"/>
    <w:rsid w:val="00275FBA"/>
    <w:rsid w:val="002D0ADB"/>
    <w:rsid w:val="00322066"/>
    <w:rsid w:val="0032361C"/>
    <w:rsid w:val="00433A21"/>
    <w:rsid w:val="0055770A"/>
    <w:rsid w:val="006C2D58"/>
    <w:rsid w:val="008643BF"/>
    <w:rsid w:val="00B25E2B"/>
    <w:rsid w:val="00B466E6"/>
    <w:rsid w:val="00C1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3A2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fn,Footnotes,ft,fn cafc,Footnote ak,fn Char,footnote text Char,Footnotes Char,Footnote ak Char,footnote citation,Footnotes Char Char,Footnote Text Char Char,fn Char Char,ft Char,fn cafc Char,DNV-FT,text,92"/>
    <w:basedOn w:val="Normal"/>
    <w:link w:val="FootnoteTextChar"/>
    <w:rsid w:val="0055770A"/>
    <w:rPr>
      <w:lang/>
    </w:rPr>
  </w:style>
  <w:style w:type="character" w:customStyle="1" w:styleId="FootnoteTextChar">
    <w:name w:val="Footnote Text Char"/>
    <w:aliases w:val="Geneva 9 Char,Font: Geneva 9 Char,Boston 10 Char,f Char,DNV-FT Char,footnote3 Char,text Char,Geneva Char,92 Char,Font: Char,Boston Char,10 Char,FOOTNOTES Char,single space Char,Footnote Text Rail EIS Char"/>
    <w:basedOn w:val="DefaultParagraphFont"/>
    <w:link w:val="FootnoteText"/>
    <w:rsid w:val="0055770A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55770A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DeltaViewInsertion">
    <w:name w:val="DeltaView Insertion"/>
    <w:uiPriority w:val="99"/>
    <w:rsid w:val="002D0ADB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2072</Characters>
  <Application>Microsoft Office Word</Application>
  <DocSecurity>0</DocSecurity>
  <Lines>17</Lines>
  <Paragraphs>4</Paragraphs>
  <ScaleCrop>false</ScaleCrop>
  <Company>BRS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cp:lastPrinted>2015-09-04T15:48:00Z</cp:lastPrinted>
  <dcterms:created xsi:type="dcterms:W3CDTF">2015-09-04T15:48:00Z</dcterms:created>
  <dcterms:modified xsi:type="dcterms:W3CDTF">2015-09-04T15:48:00Z</dcterms:modified>
</cp:coreProperties>
</file>