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C74" w:rsidRPr="00400E09" w:rsidRDefault="007C2C74" w:rsidP="007C2C74">
      <w:pPr>
        <w:spacing w:before="240" w:after="180" w:line="400" w:lineRule="exact"/>
        <w:ind w:left="1440"/>
        <w:jc w:val="both"/>
        <w:rPr>
          <w:rFonts w:cs="Traditional Arabic"/>
          <w:b/>
          <w:bCs/>
          <w:color w:val="000000"/>
          <w:sz w:val="32"/>
          <w:szCs w:val="32"/>
          <w:rtl/>
        </w:rPr>
      </w:pPr>
      <w:r w:rsidRPr="00400E09">
        <w:rPr>
          <w:rFonts w:cs="Traditional Arabic"/>
          <w:b/>
          <w:bCs/>
          <w:color w:val="000000"/>
          <w:sz w:val="32"/>
          <w:szCs w:val="32"/>
          <w:rtl/>
        </w:rPr>
        <w:t>المقرر ا ب-10/16: التعاون بين اتفاقي</w:t>
      </w:r>
      <w:r>
        <w:rPr>
          <w:rFonts w:cs="Traditional Arabic"/>
          <w:b/>
          <w:bCs/>
          <w:color w:val="000000"/>
          <w:sz w:val="32"/>
          <w:szCs w:val="32"/>
          <w:rtl/>
        </w:rPr>
        <w:t>ة بازل والمنظمة البحرية الدولية</w:t>
      </w:r>
    </w:p>
    <w:p w:rsidR="007C2C74" w:rsidRPr="00131F93" w:rsidRDefault="007C2C74" w:rsidP="007C2C74">
      <w:pPr>
        <w:spacing w:after="120" w:line="400" w:lineRule="exact"/>
        <w:ind w:left="2160"/>
        <w:jc w:val="both"/>
        <w:rPr>
          <w:rFonts w:cs="Traditional Arabic"/>
          <w:i/>
          <w:iCs/>
          <w:sz w:val="20"/>
          <w:szCs w:val="30"/>
          <w:rtl/>
        </w:rPr>
      </w:pPr>
      <w:r w:rsidRPr="00131F93">
        <w:rPr>
          <w:rFonts w:cs="Traditional Arabic"/>
          <w:i/>
          <w:iCs/>
          <w:sz w:val="20"/>
          <w:szCs w:val="30"/>
          <w:rtl/>
        </w:rPr>
        <w:t>إن مؤتمر الأطراف،</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يحيط علماً</w:t>
      </w:r>
      <w:r w:rsidRPr="00BB23EF">
        <w:rPr>
          <w:rFonts w:cs="Traditional Arabic"/>
          <w:sz w:val="20"/>
          <w:szCs w:val="30"/>
          <w:rtl/>
        </w:rPr>
        <w:t xml:space="preserve"> بالمعلومات المقدمة عن التعاون بين اتفاقية بازل بشأن التحكم في نقل النفايات الخطرة والتخلص منها عبر الحدود والمنظمة البحرية الدولية، ويعرب عن تقديره للمنظمة البحرية الدولية وللأطراف وغير الأطراف التي زودت الأمانة بالمعلومات والآراء بشأن العلاقة بين اتفاقية بازل والاتفاقية الدولية لمنع التلوث الناجم عن السفن لعام 1973، بصيغتها المعدلة بموجب بروتوكول 1978 المتصل بها والمعدلة كذلك بموجب بروتوكول عام 1997؛</w:t>
      </w:r>
      <w:r w:rsidRPr="00390904">
        <w:rPr>
          <w:rFonts w:cs="Traditional Arabic"/>
          <w:sz w:val="20"/>
          <w:szCs w:val="30"/>
          <w:vertAlign w:val="superscript"/>
          <w:rtl/>
        </w:rPr>
        <w:t>(</w:t>
      </w:r>
      <w:r w:rsidRPr="00390904">
        <w:rPr>
          <w:rStyle w:val="FootnoteReference"/>
          <w:rFonts w:cs="Traditional Arabic"/>
          <w:sz w:val="20"/>
          <w:szCs w:val="30"/>
          <w:rtl/>
        </w:rPr>
        <w:footnoteReference w:id="1"/>
      </w:r>
      <w:r w:rsidRPr="00390904">
        <w:rPr>
          <w:rFonts w:cs="Traditional Arabic"/>
          <w:sz w:val="20"/>
          <w:szCs w:val="30"/>
          <w:vertAlign w:val="superscript"/>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2</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يحيط علماً أيضاً</w:t>
      </w:r>
      <w:r w:rsidRPr="00BB23EF">
        <w:rPr>
          <w:rFonts w:cs="Traditional Arabic"/>
          <w:sz w:val="20"/>
          <w:szCs w:val="30"/>
          <w:rtl/>
        </w:rPr>
        <w:t xml:space="preserve"> بالتحليل القانوني المنقح لتطبيق اتفاقية بازل على النفايات الخطرة وغيرها من النفايات المتولدة على متن السفن؛</w:t>
      </w:r>
      <w:r w:rsidRPr="00390904">
        <w:rPr>
          <w:rFonts w:cs="Traditional Arabic"/>
          <w:sz w:val="20"/>
          <w:szCs w:val="30"/>
          <w:vertAlign w:val="superscript"/>
          <w:rtl/>
        </w:rPr>
        <w:t>(</w:t>
      </w:r>
      <w:r w:rsidRPr="00390904">
        <w:rPr>
          <w:rStyle w:val="FootnoteReference"/>
          <w:rFonts w:cs="Traditional Arabic"/>
          <w:sz w:val="20"/>
          <w:szCs w:val="30"/>
          <w:rtl/>
        </w:rPr>
        <w:footnoteReference w:id="2"/>
      </w:r>
      <w:r w:rsidRPr="00390904">
        <w:rPr>
          <w:rFonts w:cs="Traditional Arabic"/>
          <w:sz w:val="20"/>
          <w:szCs w:val="30"/>
          <w:vertAlign w:val="superscript"/>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3</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يدعو</w:t>
      </w:r>
      <w:r w:rsidRPr="00BB23EF">
        <w:rPr>
          <w:rFonts w:cs="Traditional Arabic"/>
          <w:sz w:val="20"/>
          <w:szCs w:val="30"/>
          <w:rtl/>
        </w:rPr>
        <w:t xml:space="preserve"> الأطراف والجهات الأخرى إلى أن تزوّد الأمانة، في موعد أقصاه 15 آذار/مارس 2012، بالمزيد من التعليقات على التحليل القانوني؛</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4</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يدعو</w:t>
      </w:r>
      <w:r w:rsidRPr="00BB23EF">
        <w:rPr>
          <w:rFonts w:cs="Traditional Arabic"/>
          <w:sz w:val="20"/>
          <w:szCs w:val="30"/>
          <w:rtl/>
        </w:rPr>
        <w:t xml:space="preserve"> الأطراف أيضاً إلى النظر في تولي مهام البلد الرائد في عملية مواصلة تطوير التحليل القانوني اعتبارا</w:t>
      </w:r>
      <w:r>
        <w:rPr>
          <w:rFonts w:cs="Traditional Arabic"/>
          <w:sz w:val="20"/>
          <w:szCs w:val="30"/>
          <w:rtl/>
        </w:rPr>
        <w:t>ً</w:t>
      </w:r>
      <w:r w:rsidRPr="00BB23EF">
        <w:rPr>
          <w:rFonts w:cs="Traditional Arabic"/>
          <w:sz w:val="20"/>
          <w:szCs w:val="30"/>
          <w:rtl/>
        </w:rPr>
        <w:t xml:space="preserve"> من 15 آذار/مارس 2012؛</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5</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يطلب</w:t>
      </w:r>
      <w:r w:rsidRPr="00BB23EF">
        <w:rPr>
          <w:rFonts w:cs="Traditional Arabic"/>
          <w:sz w:val="20"/>
          <w:szCs w:val="30"/>
          <w:rtl/>
        </w:rPr>
        <w:t xml:space="preserve"> إلى البلد الرائد، إن تم تعيينه، أو إلى الأمانة، رهناً بتوافر التبرعات، إعداد نسخة منقحة من التحليل القانوني، مع مراعاة التعليقات الواردة حتى 30 نيسان/أبريل 2012، لكي تنشر على الموقع الشبكي لاتفاقية بازل وعرضها على الفريق العامل المفتوح العضوية للنظر فيها في</w:t>
      </w:r>
      <w:r>
        <w:rPr>
          <w:rFonts w:cs="Traditional Arabic"/>
          <w:sz w:val="20"/>
          <w:szCs w:val="30"/>
          <w:rtl/>
        </w:rPr>
        <w:t xml:space="preserve"> </w:t>
      </w:r>
      <w:r w:rsidRPr="00BB23EF">
        <w:rPr>
          <w:rFonts w:cs="Traditional Arabic"/>
          <w:sz w:val="20"/>
          <w:szCs w:val="30"/>
          <w:rtl/>
        </w:rPr>
        <w:t>دورته الثامنة؛</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6</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يقر</w:t>
      </w:r>
      <w:r w:rsidRPr="00BB23EF">
        <w:rPr>
          <w:rFonts w:cs="Traditional Arabic"/>
          <w:sz w:val="20"/>
          <w:szCs w:val="30"/>
          <w:rtl/>
        </w:rPr>
        <w:t xml:space="preserve"> بالحاجة إلى تحسين الروابط بين البحار واليابسة لتحقيق الإدارة السليمة بيئيا</w:t>
      </w:r>
      <w:r>
        <w:rPr>
          <w:rFonts w:cs="Traditional Arabic"/>
          <w:sz w:val="20"/>
          <w:szCs w:val="30"/>
          <w:rtl/>
        </w:rPr>
        <w:t>ً</w:t>
      </w:r>
      <w:r w:rsidRPr="00BB23EF">
        <w:rPr>
          <w:rFonts w:cs="Traditional Arabic"/>
          <w:sz w:val="20"/>
          <w:szCs w:val="30"/>
          <w:rtl/>
        </w:rPr>
        <w:t xml:space="preserve"> للنفايات الخطرة والنفايات الأخرى المتولدة على متن السفن</w:t>
      </w:r>
      <w:r>
        <w:rPr>
          <w:rFonts w:cs="Traditional Arabic"/>
          <w:sz w:val="20"/>
          <w:szCs w:val="30"/>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7</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يطلب</w:t>
      </w:r>
      <w:r w:rsidRPr="00BB23EF">
        <w:rPr>
          <w:rFonts w:cs="Traditional Arabic"/>
          <w:sz w:val="20"/>
          <w:szCs w:val="30"/>
          <w:rtl/>
        </w:rPr>
        <w:t xml:space="preserve"> إلى الأمانة تعزيز تعاونها مع المنظمة البحرية الدولية، من خلال أمانتها، في مجال التقليل إلى أدنى حد من</w:t>
      </w:r>
      <w:r>
        <w:rPr>
          <w:rFonts w:cs="Traditional Arabic"/>
          <w:sz w:val="20"/>
          <w:szCs w:val="30"/>
          <w:rtl/>
        </w:rPr>
        <w:t xml:space="preserve"> </w:t>
      </w:r>
      <w:r w:rsidRPr="00BB23EF">
        <w:rPr>
          <w:rFonts w:cs="Traditional Arabic"/>
          <w:sz w:val="20"/>
          <w:szCs w:val="30"/>
          <w:rtl/>
        </w:rPr>
        <w:t>توليد النفايات الخطرة والنفايات الأخرى على متن السفن، وفي الإدارة السليمة بيئيا</w:t>
      </w:r>
      <w:r>
        <w:rPr>
          <w:rFonts w:cs="Traditional Arabic"/>
          <w:sz w:val="20"/>
          <w:szCs w:val="30"/>
          <w:rtl/>
        </w:rPr>
        <w:t>ً</w:t>
      </w:r>
      <w:r w:rsidRPr="00BB23EF">
        <w:rPr>
          <w:rFonts w:cs="Traditional Arabic"/>
          <w:sz w:val="20"/>
          <w:szCs w:val="30"/>
          <w:rtl/>
        </w:rPr>
        <w:t xml:space="preserve"> لهذه النفايات المتولدة على متن السفن عند تفريغها من السفن؛</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8</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يقر</w:t>
      </w:r>
      <w:r w:rsidRPr="00BB23EF">
        <w:rPr>
          <w:rFonts w:cs="Traditional Arabic"/>
          <w:sz w:val="20"/>
          <w:szCs w:val="30"/>
          <w:rtl/>
        </w:rPr>
        <w:t xml:space="preserve"> بأهمية</w:t>
      </w:r>
      <w:r>
        <w:rPr>
          <w:rFonts w:cs="Traditional Arabic"/>
          <w:sz w:val="20"/>
          <w:szCs w:val="30"/>
          <w:rtl/>
        </w:rPr>
        <w:t xml:space="preserve"> </w:t>
      </w:r>
      <w:r w:rsidRPr="00BB23EF">
        <w:rPr>
          <w:rFonts w:cs="Traditional Arabic"/>
          <w:sz w:val="20"/>
          <w:szCs w:val="30"/>
          <w:rtl/>
        </w:rPr>
        <w:t>تقييم مدى تغطية المبادئ التوجيهية الحالية لاتفاقية بازل للنفايات المشمولة في الاتفاقية الدولية لمنع التلوث الناجم عن السفن لعام 1973، بصيغتها المعدلة بموجب بروتوكول 1978 المتصل بها، المعدلة كذلك بموجب بروتوكول عام 1979؛</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lastRenderedPageBreak/>
        <w:t>9</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0A743C">
        <w:rPr>
          <w:rFonts w:cs="Traditional Arabic"/>
          <w:i/>
          <w:iCs/>
          <w:sz w:val="20"/>
          <w:szCs w:val="30"/>
          <w:rtl/>
        </w:rPr>
        <w:t>يدعو</w:t>
      </w:r>
      <w:r w:rsidRPr="00BB23EF">
        <w:rPr>
          <w:rFonts w:cs="Traditional Arabic"/>
          <w:sz w:val="20"/>
          <w:szCs w:val="30"/>
          <w:rtl/>
        </w:rPr>
        <w:t xml:space="preserve"> أي طرف على استعداد لإجراء التقييم المشار إليه في</w:t>
      </w:r>
      <w:r>
        <w:rPr>
          <w:rFonts w:cs="Traditional Arabic"/>
          <w:sz w:val="20"/>
          <w:szCs w:val="30"/>
          <w:rtl/>
        </w:rPr>
        <w:t xml:space="preserve"> </w:t>
      </w:r>
      <w:r w:rsidRPr="00BB23EF">
        <w:rPr>
          <w:rFonts w:cs="Traditional Arabic"/>
          <w:sz w:val="20"/>
          <w:szCs w:val="30"/>
          <w:rtl/>
        </w:rPr>
        <w:t>الفقرة السابقة، إلى أن يفعل ذلك أو أن يوفر</w:t>
      </w:r>
      <w:r>
        <w:rPr>
          <w:rFonts w:cs="Traditional Arabic"/>
          <w:sz w:val="20"/>
          <w:szCs w:val="30"/>
          <w:rtl/>
        </w:rPr>
        <w:t xml:space="preserve"> </w:t>
      </w:r>
      <w:r w:rsidRPr="00BB23EF">
        <w:rPr>
          <w:rFonts w:cs="Traditional Arabic"/>
          <w:sz w:val="20"/>
          <w:szCs w:val="30"/>
          <w:rtl/>
        </w:rPr>
        <w:t>الموارد المالية إن كان قادرا</w:t>
      </w:r>
      <w:r>
        <w:rPr>
          <w:rFonts w:cs="Traditional Arabic"/>
          <w:sz w:val="20"/>
          <w:szCs w:val="30"/>
          <w:rtl/>
        </w:rPr>
        <w:t>ً</w:t>
      </w:r>
      <w:r w:rsidRPr="00BB23EF">
        <w:rPr>
          <w:rFonts w:cs="Traditional Arabic"/>
          <w:sz w:val="20"/>
          <w:szCs w:val="30"/>
          <w:rtl/>
        </w:rPr>
        <w:t xml:space="preserve"> على ذلك لتمكين الأمانة من إجراء ذلك التقييم، بالتشاور الوثيق مع المنظمة البحرية الدولية؛</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10</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يطلب</w:t>
      </w:r>
      <w:r w:rsidRPr="00BB23EF">
        <w:rPr>
          <w:rFonts w:cs="Traditional Arabic"/>
          <w:sz w:val="20"/>
          <w:szCs w:val="30"/>
          <w:rtl/>
        </w:rPr>
        <w:t xml:space="preserve"> إلى الأمانة، رهناً بتوافر الموارد، وضع دليل توجيهي، بالتعاون مع المنظمة البحرية الدولية، بشأن كيفية تحسين الصلة بين البحر والبر لكفالة إدارة سليمة بيئيا</w:t>
      </w:r>
      <w:r>
        <w:rPr>
          <w:rFonts w:cs="Traditional Arabic"/>
          <w:sz w:val="20"/>
          <w:szCs w:val="30"/>
          <w:rtl/>
        </w:rPr>
        <w:t>ً</w:t>
      </w:r>
      <w:r w:rsidRPr="00BB23EF">
        <w:rPr>
          <w:rFonts w:cs="Traditional Arabic"/>
          <w:sz w:val="20"/>
          <w:szCs w:val="30"/>
          <w:rtl/>
        </w:rPr>
        <w:t xml:space="preserve"> للنفايات الواقعة في نطاق الاتفاقية الدولية لمنع التلوث الناجم عن السفن لعام 1973، بصيغتها المعدلة بموجب بروتوكول 1978 المتصل بها، المعدلة كذلك بموجب بروتوكول عام 1979؛</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11</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يطلب</w:t>
      </w:r>
      <w:r w:rsidRPr="00BB23EF">
        <w:rPr>
          <w:rFonts w:cs="Traditional Arabic"/>
          <w:sz w:val="20"/>
          <w:szCs w:val="30"/>
          <w:rtl/>
        </w:rPr>
        <w:t xml:space="preserve"> إلى الأمانة إبقاء المنظمة البحرية الدولية على علم دائم، ما كان مناسباً، بأية تطورات في موضوع هذا المقرر تنشأ في سياق اتفاقية بازل</w:t>
      </w:r>
      <w:r>
        <w:rPr>
          <w:rFonts w:cs="Traditional Arabic"/>
          <w:sz w:val="20"/>
          <w:szCs w:val="30"/>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12</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يطلب كذلك</w:t>
      </w:r>
      <w:r w:rsidRPr="00BB23EF">
        <w:rPr>
          <w:rFonts w:cs="Traditional Arabic"/>
          <w:sz w:val="20"/>
          <w:szCs w:val="30"/>
          <w:rtl/>
        </w:rPr>
        <w:t xml:space="preserve"> إلى</w:t>
      </w:r>
      <w:r>
        <w:rPr>
          <w:rFonts w:cs="Traditional Arabic"/>
          <w:sz w:val="20"/>
          <w:szCs w:val="30"/>
          <w:rtl/>
        </w:rPr>
        <w:t xml:space="preserve"> </w:t>
      </w:r>
      <w:r w:rsidRPr="00BB23EF">
        <w:rPr>
          <w:rFonts w:cs="Traditional Arabic"/>
          <w:sz w:val="20"/>
          <w:szCs w:val="30"/>
          <w:rtl/>
        </w:rPr>
        <w:t>الأمانة أن ترصد أي دراسة تقوم بها لجنة حماية البيئية البحرية ولجنة السلامة البحرية</w:t>
      </w:r>
      <w:r>
        <w:rPr>
          <w:rFonts w:cs="Traditional Arabic"/>
          <w:sz w:val="20"/>
          <w:szCs w:val="30"/>
          <w:rtl/>
        </w:rPr>
        <w:t xml:space="preserve"> </w:t>
      </w:r>
      <w:r w:rsidRPr="00BB23EF">
        <w:rPr>
          <w:rFonts w:cs="Traditional Arabic"/>
          <w:sz w:val="20"/>
          <w:szCs w:val="30"/>
          <w:rtl/>
        </w:rPr>
        <w:t>التابعتين للمنظمة البحرية الدولية</w:t>
      </w:r>
      <w:r>
        <w:rPr>
          <w:rFonts w:cs="Traditional Arabic"/>
          <w:sz w:val="20"/>
          <w:szCs w:val="30"/>
          <w:rtl/>
        </w:rPr>
        <w:t xml:space="preserve"> </w:t>
      </w:r>
      <w:r w:rsidRPr="00BB23EF">
        <w:rPr>
          <w:rFonts w:cs="Traditional Arabic"/>
          <w:sz w:val="20"/>
          <w:szCs w:val="30"/>
          <w:rtl/>
        </w:rPr>
        <w:t>للمسائل ذات الصلة باتفاقية بازل</w:t>
      </w:r>
      <w:r>
        <w:rPr>
          <w:rFonts w:cs="Traditional Arabic"/>
          <w:sz w:val="20"/>
          <w:szCs w:val="30"/>
          <w:rtl/>
        </w:rPr>
        <w:t>،</w:t>
      </w:r>
      <w:r w:rsidRPr="00BB23EF">
        <w:rPr>
          <w:rFonts w:cs="Traditional Arabic"/>
          <w:sz w:val="20"/>
          <w:szCs w:val="30"/>
          <w:rtl/>
        </w:rPr>
        <w:t xml:space="preserve"> مثل</w:t>
      </w:r>
      <w:r>
        <w:rPr>
          <w:rFonts w:cs="Traditional Arabic"/>
          <w:sz w:val="20"/>
          <w:szCs w:val="30"/>
          <w:rtl/>
        </w:rPr>
        <w:t xml:space="preserve"> </w:t>
      </w:r>
      <w:r w:rsidRPr="00BB23EF">
        <w:rPr>
          <w:rFonts w:cs="Traditional Arabic"/>
          <w:sz w:val="20"/>
          <w:szCs w:val="30"/>
          <w:rtl/>
        </w:rPr>
        <w:t>توليد النفايات الخطرة والنفايات الأخرى على متن السفن والعلاقة بين اتفاقية بازل والاتفاقيات الأخرى في</w:t>
      </w:r>
      <w:r>
        <w:rPr>
          <w:rFonts w:cs="Traditional Arabic"/>
          <w:sz w:val="20"/>
          <w:szCs w:val="30"/>
          <w:rtl/>
        </w:rPr>
        <w:t xml:space="preserve"> إطار المنظمة البحرية الدولية (</w:t>
      </w:r>
      <w:r w:rsidRPr="00BB23EF">
        <w:rPr>
          <w:rFonts w:cs="Traditional Arabic"/>
          <w:sz w:val="20"/>
          <w:szCs w:val="30"/>
          <w:rtl/>
        </w:rPr>
        <w:t>مثل</w:t>
      </w:r>
      <w:r>
        <w:rPr>
          <w:rFonts w:cs="Traditional Arabic"/>
          <w:sz w:val="20"/>
          <w:szCs w:val="30"/>
          <w:rtl/>
        </w:rPr>
        <w:t xml:space="preserve"> </w:t>
      </w:r>
      <w:r w:rsidRPr="00BB23EF">
        <w:rPr>
          <w:rFonts w:cs="Traditional Arabic"/>
          <w:sz w:val="20"/>
          <w:szCs w:val="30"/>
          <w:rtl/>
        </w:rPr>
        <w:t>الاتفاقية الدولية لمنع التلوث الناجم عن السفن لعام 1973، بصيغتها المعدلة بموجب بروتوكول 1978 المتصل بها، المعدلة كذلك بموجب بروتوكول عام 1979، والاتفاقية الدولية</w:t>
      </w:r>
      <w:r>
        <w:rPr>
          <w:rFonts w:cs="Traditional Arabic"/>
          <w:sz w:val="20"/>
          <w:szCs w:val="30"/>
          <w:rtl/>
        </w:rPr>
        <w:t xml:space="preserve"> </w:t>
      </w:r>
      <w:r w:rsidRPr="00BB23EF">
        <w:rPr>
          <w:rFonts w:cs="Traditional Arabic"/>
          <w:sz w:val="20"/>
          <w:szCs w:val="30"/>
          <w:rtl/>
        </w:rPr>
        <w:t>المعنية بسلامة الأرواح في البحر) وأن تقدم تقريرا</w:t>
      </w:r>
      <w:r>
        <w:rPr>
          <w:rFonts w:cs="Traditional Arabic"/>
          <w:sz w:val="20"/>
          <w:szCs w:val="30"/>
          <w:rtl/>
        </w:rPr>
        <w:t>ً</w:t>
      </w:r>
      <w:r w:rsidRPr="00BB23EF">
        <w:rPr>
          <w:rFonts w:cs="Traditional Arabic"/>
          <w:sz w:val="20"/>
          <w:szCs w:val="30"/>
          <w:rtl/>
        </w:rPr>
        <w:t xml:space="preserve"> عن ذلك إلى الفريق العامل المفتوح العضوية في دورته الثامنة</w:t>
      </w:r>
      <w:r>
        <w:rPr>
          <w:rFonts w:cs="Traditional Arabic"/>
          <w:sz w:val="20"/>
          <w:szCs w:val="30"/>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13</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يطلب</w:t>
      </w:r>
      <w:r w:rsidRPr="00BB23EF">
        <w:rPr>
          <w:rFonts w:cs="Traditional Arabic"/>
          <w:sz w:val="20"/>
          <w:szCs w:val="30"/>
          <w:rtl/>
        </w:rPr>
        <w:t xml:space="preserve"> إلى الأمانة مواصلة تعاونها مع المنظمة</w:t>
      </w:r>
      <w:r>
        <w:rPr>
          <w:rFonts w:cs="Traditional Arabic"/>
          <w:sz w:val="20"/>
          <w:szCs w:val="30"/>
        </w:rPr>
        <w:t xml:space="preserve"> </w:t>
      </w:r>
      <w:r w:rsidRPr="00BB23EF">
        <w:rPr>
          <w:rFonts w:cs="Traditional Arabic"/>
          <w:sz w:val="20"/>
          <w:szCs w:val="30"/>
          <w:rtl/>
        </w:rPr>
        <w:t>الدولية لتوحيد المقاييس في إدراج متطلبات اتفاقية بازل</w:t>
      </w:r>
      <w:r>
        <w:rPr>
          <w:rFonts w:cs="Traditional Arabic"/>
          <w:sz w:val="20"/>
          <w:szCs w:val="30"/>
          <w:rtl/>
        </w:rPr>
        <w:t xml:space="preserve"> </w:t>
      </w:r>
      <w:r w:rsidRPr="00BB23EF">
        <w:rPr>
          <w:rFonts w:cs="Traditional Arabic"/>
          <w:sz w:val="20"/>
          <w:szCs w:val="30"/>
          <w:rtl/>
        </w:rPr>
        <w:t>الخاصة بتدنية النفايات والإدارة السليمة بيئيا</w:t>
      </w:r>
      <w:r>
        <w:rPr>
          <w:rFonts w:cs="Traditional Arabic"/>
          <w:sz w:val="20"/>
          <w:szCs w:val="30"/>
          <w:rtl/>
        </w:rPr>
        <w:t>ً</w:t>
      </w:r>
      <w:r w:rsidRPr="00BB23EF">
        <w:rPr>
          <w:rFonts w:cs="Traditional Arabic"/>
          <w:sz w:val="20"/>
          <w:szCs w:val="30"/>
          <w:rtl/>
        </w:rPr>
        <w:t xml:space="preserve"> ضمن</w:t>
      </w:r>
      <w:r>
        <w:rPr>
          <w:rFonts w:cs="Traditional Arabic"/>
          <w:sz w:val="20"/>
          <w:szCs w:val="30"/>
          <w:rtl/>
        </w:rPr>
        <w:t xml:space="preserve"> </w:t>
      </w:r>
      <w:r w:rsidRPr="00BB23EF">
        <w:rPr>
          <w:rFonts w:cs="Traditional Arabic"/>
          <w:sz w:val="20"/>
          <w:szCs w:val="30"/>
          <w:rtl/>
        </w:rPr>
        <w:t>المقاييس الدولية التي تقوم المنظمة الدولية لتوحيد المقاييس بوضعها حاليا</w:t>
      </w:r>
      <w:r>
        <w:rPr>
          <w:rFonts w:cs="Traditional Arabic"/>
          <w:sz w:val="20"/>
          <w:szCs w:val="30"/>
          <w:rtl/>
        </w:rPr>
        <w:t>ً</w:t>
      </w:r>
      <w:r w:rsidRPr="00BB23EF">
        <w:rPr>
          <w:rFonts w:cs="Traditional Arabic"/>
          <w:sz w:val="20"/>
          <w:szCs w:val="30"/>
          <w:rtl/>
        </w:rPr>
        <w:t xml:space="preserve"> بشأن مرافق الاستقبال في المرافئ</w:t>
      </w:r>
      <w:r>
        <w:rPr>
          <w:rFonts w:cs="Traditional Arabic"/>
          <w:sz w:val="20"/>
          <w:szCs w:val="30"/>
          <w:rtl/>
        </w:rPr>
        <w:t>؛</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14</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يحث</w:t>
      </w:r>
      <w:r w:rsidRPr="00BB23EF">
        <w:rPr>
          <w:rFonts w:cs="Traditional Arabic"/>
          <w:sz w:val="20"/>
          <w:szCs w:val="30"/>
          <w:rtl/>
        </w:rPr>
        <w:t xml:space="preserve"> الأطراف على بذل قصارى جهدها لضمان التعاون على الصعيد الوطني بين صناعة النقل البحري، والسلطات البحرية</w:t>
      </w:r>
      <w:r>
        <w:rPr>
          <w:rFonts w:cs="Traditional Arabic"/>
          <w:sz w:val="20"/>
          <w:szCs w:val="30"/>
          <w:rtl/>
        </w:rPr>
        <w:t>،</w:t>
      </w:r>
      <w:r w:rsidRPr="00BB23EF">
        <w:rPr>
          <w:rFonts w:cs="Traditional Arabic"/>
          <w:sz w:val="20"/>
          <w:szCs w:val="30"/>
          <w:rtl/>
        </w:rPr>
        <w:t xml:space="preserve"> وسلطات الموانئ، وال</w:t>
      </w:r>
      <w:r>
        <w:rPr>
          <w:rFonts w:cs="Traditional Arabic"/>
          <w:sz w:val="20"/>
          <w:szCs w:val="30"/>
          <w:rtl/>
        </w:rPr>
        <w:t>سلطات البيئية، وكذلك بين ممثلي</w:t>
      </w:r>
      <w:r w:rsidRPr="00BB23EF">
        <w:rPr>
          <w:rFonts w:cs="Traditional Arabic"/>
          <w:sz w:val="20"/>
          <w:szCs w:val="30"/>
          <w:rtl/>
        </w:rPr>
        <w:t xml:space="preserve"> هذه السلطات</w:t>
      </w:r>
      <w:r>
        <w:rPr>
          <w:rFonts w:cs="Traditional Arabic"/>
          <w:sz w:val="20"/>
          <w:szCs w:val="30"/>
          <w:rtl/>
        </w:rPr>
        <w:t xml:space="preserve"> </w:t>
      </w:r>
      <w:r w:rsidRPr="00BB23EF">
        <w:rPr>
          <w:rFonts w:cs="Traditional Arabic"/>
          <w:sz w:val="20"/>
          <w:szCs w:val="30"/>
          <w:rtl/>
        </w:rPr>
        <w:t>لدى المنظمة البحرية الدولية واتفاقية بازل، لضمان الإدارة</w:t>
      </w:r>
      <w:r>
        <w:rPr>
          <w:rFonts w:cs="Traditional Arabic"/>
          <w:sz w:val="20"/>
          <w:szCs w:val="30"/>
          <w:rtl/>
        </w:rPr>
        <w:t xml:space="preserve"> </w:t>
      </w:r>
      <w:r w:rsidRPr="00BB23EF">
        <w:rPr>
          <w:rFonts w:cs="Traditional Arabic"/>
          <w:sz w:val="20"/>
          <w:szCs w:val="30"/>
          <w:rtl/>
        </w:rPr>
        <w:t>السليمة بيئيا</w:t>
      </w:r>
      <w:r>
        <w:rPr>
          <w:rFonts w:cs="Traditional Arabic"/>
          <w:sz w:val="20"/>
          <w:szCs w:val="30"/>
          <w:rtl/>
        </w:rPr>
        <w:t>ً</w:t>
      </w:r>
      <w:r w:rsidRPr="00BB23EF">
        <w:rPr>
          <w:rFonts w:cs="Traditional Arabic"/>
          <w:sz w:val="20"/>
          <w:szCs w:val="30"/>
          <w:rtl/>
        </w:rPr>
        <w:t xml:space="preserve"> للنفايات الخطرة والنفايات الأخرى على متن السفن؛</w:t>
      </w:r>
    </w:p>
    <w:p w:rsidR="007C2C74" w:rsidRPr="00BB23EF" w:rsidRDefault="007C2C74" w:rsidP="007C2C74">
      <w:pPr>
        <w:spacing w:after="120" w:line="400" w:lineRule="exact"/>
        <w:ind w:left="1440" w:firstLine="720"/>
        <w:jc w:val="both"/>
        <w:rPr>
          <w:rFonts w:cs="Traditional Arabic"/>
          <w:sz w:val="20"/>
          <w:szCs w:val="30"/>
          <w:rtl/>
        </w:rPr>
      </w:pPr>
      <w:r w:rsidRPr="00BB23EF">
        <w:rPr>
          <w:rFonts w:cs="Traditional Arabic"/>
          <w:sz w:val="20"/>
          <w:szCs w:val="30"/>
          <w:rtl/>
        </w:rPr>
        <w:t>15</w:t>
      </w:r>
      <w:r>
        <w:rPr>
          <w:rFonts w:cs="Traditional Arabic"/>
          <w:sz w:val="20"/>
          <w:szCs w:val="30"/>
          <w:rtl/>
        </w:rPr>
        <w:t xml:space="preserve"> </w:t>
      </w:r>
      <w:r w:rsidRPr="00BB23EF">
        <w:rPr>
          <w:rFonts w:cs="Traditional Arabic"/>
          <w:sz w:val="20"/>
          <w:szCs w:val="30"/>
          <w:rtl/>
        </w:rPr>
        <w:t>-</w:t>
      </w:r>
      <w:r>
        <w:rPr>
          <w:rFonts w:cs="Traditional Arabic"/>
          <w:sz w:val="20"/>
          <w:szCs w:val="30"/>
          <w:rtl/>
        </w:rPr>
        <w:tab/>
      </w:r>
      <w:r w:rsidRPr="00445F22">
        <w:rPr>
          <w:rFonts w:cs="Traditional Arabic"/>
          <w:i/>
          <w:iCs/>
          <w:sz w:val="20"/>
          <w:szCs w:val="30"/>
          <w:rtl/>
        </w:rPr>
        <w:t>يطلب</w:t>
      </w:r>
      <w:r w:rsidRPr="00BB23EF">
        <w:rPr>
          <w:rFonts w:cs="Traditional Arabic"/>
          <w:sz w:val="20"/>
          <w:szCs w:val="30"/>
          <w:rtl/>
        </w:rPr>
        <w:t xml:space="preserve"> إلى الأمانة أن تقدم تقريراً عن تنفيذ هذا المقرر إلى مؤتمر الأطراف في اجتماعه الحادي عشر، وأن تعد</w:t>
      </w:r>
      <w:r>
        <w:rPr>
          <w:rFonts w:cs="Traditional Arabic"/>
          <w:sz w:val="20"/>
          <w:szCs w:val="30"/>
          <w:rtl/>
        </w:rPr>
        <w:t xml:space="preserve"> </w:t>
      </w:r>
      <w:r w:rsidRPr="00BB23EF">
        <w:rPr>
          <w:rFonts w:cs="Traditional Arabic"/>
          <w:sz w:val="20"/>
          <w:szCs w:val="30"/>
          <w:rtl/>
        </w:rPr>
        <w:t>مشروع مقرر بذلك للنظر فيه في ذلك الاجتماع.</w:t>
      </w:r>
    </w:p>
    <w:p w:rsidR="008C689F" w:rsidRDefault="008C689F"/>
    <w:sectPr w:rsidR="008C689F" w:rsidSect="008C68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310" w:rsidRDefault="00B51310" w:rsidP="007C2C74">
      <w:r>
        <w:separator/>
      </w:r>
    </w:p>
  </w:endnote>
  <w:endnote w:type="continuationSeparator" w:id="0">
    <w:p w:rsidR="00B51310" w:rsidRDefault="00B51310" w:rsidP="007C2C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310" w:rsidRDefault="00B51310" w:rsidP="007C2C74">
      <w:r>
        <w:separator/>
      </w:r>
    </w:p>
  </w:footnote>
  <w:footnote w:type="continuationSeparator" w:id="0">
    <w:p w:rsidR="00B51310" w:rsidRDefault="00B51310" w:rsidP="007C2C74">
      <w:r>
        <w:continuationSeparator/>
      </w:r>
    </w:p>
  </w:footnote>
  <w:footnote w:id="1">
    <w:p w:rsidR="007C2C74" w:rsidRPr="00781753" w:rsidRDefault="007C2C74" w:rsidP="007C2C74">
      <w:pPr>
        <w:pStyle w:val="FootnoteText"/>
        <w:spacing w:after="80" w:line="320" w:lineRule="exact"/>
        <w:ind w:left="1440"/>
        <w:rPr>
          <w:rFonts w:cs="Traditional Arabic"/>
          <w:sz w:val="18"/>
          <w:szCs w:val="26"/>
          <w:rtl/>
        </w:rPr>
      </w:pPr>
      <w:r w:rsidRPr="00781753">
        <w:rPr>
          <w:rFonts w:cs="Traditional Arabic" w:hint="cs"/>
          <w:sz w:val="18"/>
          <w:szCs w:val="26"/>
          <w:rtl/>
        </w:rPr>
        <w:t>(</w:t>
      </w:r>
      <w:r w:rsidRPr="00781753">
        <w:rPr>
          <w:rFonts w:cs="Traditional Arabic"/>
          <w:sz w:val="18"/>
          <w:szCs w:val="26"/>
          <w:rtl/>
        </w:rPr>
        <w:footnoteRef/>
      </w:r>
      <w:r w:rsidRPr="00781753">
        <w:rPr>
          <w:rFonts w:cs="Traditional Arabic" w:hint="cs"/>
          <w:sz w:val="18"/>
          <w:szCs w:val="26"/>
          <w:rtl/>
        </w:rPr>
        <w:t>)</w:t>
      </w:r>
      <w:r w:rsidRPr="00781753">
        <w:rPr>
          <w:rFonts w:cs="Traditional Arabic" w:hint="cs"/>
          <w:sz w:val="18"/>
          <w:szCs w:val="26"/>
          <w:rtl/>
        </w:rPr>
        <w:tab/>
      </w:r>
      <w:r w:rsidRPr="00781753">
        <w:rPr>
          <w:rFonts w:cs="Traditional Arabic"/>
          <w:sz w:val="18"/>
          <w:szCs w:val="26"/>
        </w:rPr>
        <w:t>UNEP/CHW.9/INF/22</w:t>
      </w:r>
      <w:r w:rsidRPr="00781753">
        <w:rPr>
          <w:rFonts w:cs="Traditional Arabic" w:hint="cs"/>
          <w:sz w:val="18"/>
          <w:szCs w:val="26"/>
          <w:rtl/>
        </w:rPr>
        <w:t xml:space="preserve"> و</w:t>
      </w:r>
      <w:r w:rsidRPr="00781753">
        <w:rPr>
          <w:rFonts w:cs="Traditional Arabic"/>
          <w:sz w:val="18"/>
          <w:szCs w:val="26"/>
        </w:rPr>
        <w:t>UNEP/CHW.10/INF/15</w:t>
      </w:r>
      <w:r w:rsidRPr="00781753">
        <w:rPr>
          <w:rFonts w:cs="Traditional Arabic" w:hint="cs"/>
          <w:sz w:val="18"/>
          <w:szCs w:val="26"/>
          <w:rtl/>
        </w:rPr>
        <w:t>.</w:t>
      </w:r>
    </w:p>
  </w:footnote>
  <w:footnote w:id="2">
    <w:p w:rsidR="007C2C74" w:rsidRPr="00781753" w:rsidRDefault="007C2C74" w:rsidP="007C2C74">
      <w:pPr>
        <w:pStyle w:val="FootnoteText"/>
        <w:spacing w:after="80" w:line="320" w:lineRule="exact"/>
        <w:ind w:left="1440"/>
        <w:rPr>
          <w:rFonts w:cs="Traditional Arabic"/>
          <w:sz w:val="18"/>
          <w:szCs w:val="26"/>
        </w:rPr>
      </w:pPr>
      <w:r w:rsidRPr="00781753">
        <w:rPr>
          <w:rFonts w:cs="Traditional Arabic" w:hint="cs"/>
          <w:sz w:val="18"/>
          <w:szCs w:val="26"/>
          <w:rtl/>
        </w:rPr>
        <w:t>(</w:t>
      </w:r>
      <w:r w:rsidRPr="00781753">
        <w:rPr>
          <w:rFonts w:cs="Traditional Arabic"/>
          <w:sz w:val="18"/>
          <w:szCs w:val="26"/>
          <w:rtl/>
        </w:rPr>
        <w:footnoteRef/>
      </w:r>
      <w:r w:rsidRPr="00781753">
        <w:rPr>
          <w:rFonts w:cs="Traditional Arabic" w:hint="cs"/>
          <w:sz w:val="18"/>
          <w:szCs w:val="26"/>
          <w:rtl/>
        </w:rPr>
        <w:t>)</w:t>
      </w:r>
      <w:r w:rsidRPr="00781753">
        <w:rPr>
          <w:rFonts w:cs="Traditional Arabic" w:hint="cs"/>
          <w:sz w:val="18"/>
          <w:szCs w:val="26"/>
          <w:rtl/>
        </w:rPr>
        <w:tab/>
      </w:r>
      <w:r w:rsidRPr="00781753">
        <w:rPr>
          <w:rFonts w:cs="Traditional Arabic"/>
          <w:sz w:val="18"/>
          <w:szCs w:val="26"/>
        </w:rPr>
        <w:t>UNEP/CHW.10/INF/16</w:t>
      </w:r>
      <w:r w:rsidRPr="00781753">
        <w:rPr>
          <w:rFonts w:cs="Traditional Arabic" w:hint="cs"/>
          <w:sz w:val="18"/>
          <w:szCs w:val="26"/>
          <w:rtl/>
        </w:rPr>
        <w:t>، المرفق الأول.</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7C2C74"/>
    <w:rsid w:val="007C2C74"/>
    <w:rsid w:val="008C689F"/>
    <w:rsid w:val="00B51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C74"/>
    <w:pPr>
      <w:bidi/>
      <w:spacing w:after="0" w:line="240" w:lineRule="auto"/>
    </w:pPr>
    <w:rPr>
      <w:rFonts w:ascii="Times New Roman" w:eastAsia="Times New Roman" w:hAnsi="Times New Roman"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
    <w:basedOn w:val="Normal"/>
    <w:link w:val="FootnoteTextChar"/>
    <w:semiHidden/>
    <w:rsid w:val="007C2C74"/>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
    <w:basedOn w:val="DefaultParagraphFont"/>
    <w:link w:val="FootnoteText"/>
    <w:semiHidden/>
    <w:rsid w:val="007C2C74"/>
    <w:rPr>
      <w:rFonts w:ascii="Times New Roman" w:eastAsia="Times New Roman" w:hAnsi="Times New Roman" w:cs="Simplified Arabic"/>
      <w:sz w:val="20"/>
      <w:szCs w:val="20"/>
    </w:rPr>
  </w:style>
  <w:style w:type="character" w:styleId="FootnoteReference">
    <w:name w:val="footnote reference"/>
    <w:aliases w:val="16 Point,Superscript 6 Point,ftref"/>
    <w:basedOn w:val="DefaultParagraphFont"/>
    <w:semiHidden/>
    <w:rsid w:val="007C2C74"/>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564</Words>
  <Characters>3220</Characters>
  <Application>Microsoft Office Word</Application>
  <DocSecurity>0</DocSecurity>
  <Lines>26</Lines>
  <Paragraphs>7</Paragraphs>
  <ScaleCrop>false</ScaleCrop>
  <Company>BRS</Company>
  <LinksUpToDate>false</LinksUpToDate>
  <CharactersWithSpaces>3777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2018-02-21T16:21:00Z</dcterms:created>
  <dcterms:modified xsi:type="dcterms:W3CDTF">2018-02-21T16:23:00Z</dcterms:modified>
</cp:coreProperties>
</file>