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1FF" w:rsidRPr="00400E09" w:rsidRDefault="009D71FF" w:rsidP="009D71FF">
      <w:pPr>
        <w:spacing w:before="240" w:after="180" w:line="400" w:lineRule="exact"/>
        <w:ind w:left="1440"/>
        <w:jc w:val="both"/>
        <w:rPr>
          <w:rFonts w:cs="Traditional Arabic"/>
          <w:b/>
          <w:bCs/>
          <w:color w:val="000000"/>
          <w:sz w:val="32"/>
          <w:szCs w:val="32"/>
          <w:rtl/>
        </w:rPr>
      </w:pPr>
      <w:r w:rsidRPr="00400E09">
        <w:rPr>
          <w:rFonts w:cs="Traditional Arabic"/>
          <w:b/>
          <w:bCs/>
          <w:color w:val="000000"/>
          <w:sz w:val="32"/>
          <w:szCs w:val="32"/>
          <w:rtl/>
        </w:rPr>
        <w:t>المقرر ا ب -</w:t>
      </w:r>
      <w:r>
        <w:rPr>
          <w:rFonts w:cs="Traditional Arabic"/>
          <w:b/>
          <w:bCs/>
          <w:color w:val="000000"/>
          <w:sz w:val="32"/>
          <w:szCs w:val="32"/>
          <w:rtl/>
        </w:rPr>
        <w:t xml:space="preserve"> </w:t>
      </w:r>
      <w:r w:rsidRPr="00400E09">
        <w:rPr>
          <w:rFonts w:cs="Traditional Arabic"/>
          <w:b/>
          <w:bCs/>
          <w:color w:val="000000"/>
          <w:sz w:val="32"/>
          <w:szCs w:val="32"/>
          <w:rtl/>
        </w:rPr>
        <w:t>10/18:</w:t>
      </w:r>
      <w:r>
        <w:rPr>
          <w:rFonts w:cs="Traditional Arabic"/>
          <w:b/>
          <w:bCs/>
          <w:color w:val="000000"/>
          <w:sz w:val="32"/>
          <w:szCs w:val="32"/>
          <w:rtl/>
        </w:rPr>
        <w:t xml:space="preserve"> </w:t>
      </w:r>
      <w:r w:rsidRPr="00400E09">
        <w:rPr>
          <w:rFonts w:cs="Traditional Arabic"/>
          <w:b/>
          <w:bCs/>
          <w:color w:val="000000"/>
          <w:sz w:val="32"/>
          <w:szCs w:val="32"/>
          <w:rtl/>
        </w:rPr>
        <w:t>دليل تعليمات للمهن القانونية بشأن الملاحقة القضائية للاتجار غير المشروع</w:t>
      </w:r>
    </w:p>
    <w:p w:rsidR="009D71FF" w:rsidRPr="00131F93" w:rsidRDefault="009D71FF" w:rsidP="009D71FF">
      <w:pPr>
        <w:spacing w:after="120" w:line="400" w:lineRule="exact"/>
        <w:ind w:left="2160"/>
        <w:jc w:val="both"/>
        <w:rPr>
          <w:rFonts w:cs="Traditional Arabic"/>
          <w:i/>
          <w:iCs/>
          <w:sz w:val="20"/>
          <w:szCs w:val="30"/>
          <w:rtl/>
        </w:rPr>
      </w:pPr>
      <w:r>
        <w:rPr>
          <w:rFonts w:cs="Traditional Arabic"/>
          <w:i/>
          <w:iCs/>
          <w:sz w:val="20"/>
          <w:szCs w:val="30"/>
          <w:rtl/>
        </w:rPr>
        <w:t>إن مؤتمر الأطراف،</w:t>
      </w:r>
    </w:p>
    <w:p w:rsidR="009D71FF" w:rsidRPr="00445F22" w:rsidRDefault="009D71FF" w:rsidP="009D71FF">
      <w:pPr>
        <w:spacing w:after="120" w:line="400" w:lineRule="exact"/>
        <w:ind w:left="1440" w:firstLine="720"/>
        <w:jc w:val="both"/>
        <w:rPr>
          <w:rFonts w:cs="Traditional Arabic"/>
          <w:w w:val="95"/>
          <w:sz w:val="20"/>
          <w:szCs w:val="30"/>
          <w:rtl/>
        </w:rPr>
      </w:pPr>
      <w:r w:rsidRPr="00445F22">
        <w:rPr>
          <w:rFonts w:cs="Traditional Arabic"/>
          <w:w w:val="95"/>
          <w:sz w:val="20"/>
          <w:szCs w:val="30"/>
          <w:rtl/>
        </w:rPr>
        <w:t>1 -</w:t>
      </w:r>
      <w:r w:rsidRPr="00445F22">
        <w:rPr>
          <w:rFonts w:cs="Traditional Arabic"/>
          <w:w w:val="95"/>
          <w:sz w:val="20"/>
          <w:szCs w:val="30"/>
          <w:rtl/>
        </w:rPr>
        <w:tab/>
      </w:r>
      <w:r w:rsidRPr="00445F22">
        <w:rPr>
          <w:rFonts w:cs="Traditional Arabic"/>
          <w:i/>
          <w:iCs/>
          <w:w w:val="95"/>
          <w:sz w:val="20"/>
          <w:szCs w:val="30"/>
          <w:rtl/>
        </w:rPr>
        <w:t>يعرب عن تقديره</w:t>
      </w:r>
      <w:r w:rsidRPr="00445F22">
        <w:rPr>
          <w:rFonts w:cs="Traditional Arabic"/>
          <w:w w:val="95"/>
          <w:sz w:val="20"/>
          <w:szCs w:val="30"/>
          <w:rtl/>
        </w:rPr>
        <w:t xml:space="preserve"> </w:t>
      </w:r>
      <w:r w:rsidRPr="00445F22">
        <w:rPr>
          <w:rFonts w:cs="Traditional Arabic"/>
          <w:sz w:val="20"/>
          <w:szCs w:val="30"/>
          <w:rtl/>
        </w:rPr>
        <w:t>لفريق</w:t>
      </w:r>
      <w:r w:rsidRPr="00445F22">
        <w:rPr>
          <w:rFonts w:cs="Traditional Arabic"/>
          <w:w w:val="95"/>
          <w:sz w:val="20"/>
          <w:szCs w:val="30"/>
          <w:rtl/>
        </w:rPr>
        <w:t xml:space="preserve"> الخبراء الصغير الذي انعقد لوضع مشروع دليل تعليمات للمهن القانونية بشأن الملاحقة القضائية للاتجار غير المشروع؛</w:t>
      </w:r>
    </w:p>
    <w:p w:rsidR="009D71FF" w:rsidRPr="00445F22" w:rsidRDefault="009D71FF" w:rsidP="009D71FF">
      <w:pPr>
        <w:spacing w:after="120" w:line="400" w:lineRule="exact"/>
        <w:ind w:left="1440" w:firstLine="720"/>
        <w:jc w:val="both"/>
        <w:rPr>
          <w:rFonts w:cs="Traditional Arabic"/>
          <w:w w:val="95"/>
          <w:sz w:val="20"/>
          <w:szCs w:val="30"/>
          <w:rtl/>
        </w:rPr>
      </w:pPr>
      <w:r w:rsidRPr="00445F22">
        <w:rPr>
          <w:rFonts w:cs="Traditional Arabic"/>
          <w:w w:val="95"/>
          <w:sz w:val="20"/>
          <w:szCs w:val="30"/>
          <w:rtl/>
        </w:rPr>
        <w:t>2 -</w:t>
      </w:r>
      <w:r w:rsidRPr="00445F22">
        <w:rPr>
          <w:rFonts w:cs="Traditional Arabic"/>
          <w:w w:val="95"/>
          <w:sz w:val="20"/>
          <w:szCs w:val="30"/>
          <w:rtl/>
        </w:rPr>
        <w:tab/>
      </w:r>
      <w:r w:rsidRPr="00445F22">
        <w:rPr>
          <w:rFonts w:cs="Traditional Arabic"/>
          <w:i/>
          <w:iCs/>
          <w:w w:val="95"/>
          <w:sz w:val="20"/>
          <w:szCs w:val="30"/>
          <w:rtl/>
        </w:rPr>
        <w:t>يوافق</w:t>
      </w:r>
      <w:r w:rsidRPr="00445F22">
        <w:rPr>
          <w:rFonts w:cs="Traditional Arabic"/>
          <w:w w:val="95"/>
          <w:sz w:val="20"/>
          <w:szCs w:val="30"/>
          <w:rtl/>
        </w:rPr>
        <w:t xml:space="preserve"> على دليل التعليمات</w:t>
      </w:r>
      <w:r>
        <w:rPr>
          <w:rFonts w:cs="Traditional Arabic"/>
          <w:w w:val="95"/>
          <w:sz w:val="20"/>
          <w:szCs w:val="30"/>
          <w:rtl/>
        </w:rPr>
        <w:t xml:space="preserve"> </w:t>
      </w:r>
      <w:r w:rsidRPr="00445F22">
        <w:rPr>
          <w:rFonts w:cs="Traditional Arabic"/>
          <w:w w:val="95"/>
          <w:sz w:val="20"/>
          <w:szCs w:val="30"/>
          <w:rtl/>
        </w:rPr>
        <w:t>بشأن الملاحقة القضائية للاتجار غير المشروع؛</w:t>
      </w:r>
      <w:r w:rsidRPr="00445F22">
        <w:rPr>
          <w:rFonts w:cs="Traditional Arabic"/>
          <w:w w:val="95"/>
          <w:sz w:val="20"/>
          <w:szCs w:val="30"/>
          <w:vertAlign w:val="superscript"/>
          <w:rtl/>
        </w:rPr>
        <w:t>(</w:t>
      </w:r>
      <w:r w:rsidRPr="00445F22">
        <w:rPr>
          <w:rStyle w:val="FootnoteReference"/>
          <w:rFonts w:cs="Traditional Arabic"/>
          <w:w w:val="95"/>
          <w:sz w:val="20"/>
          <w:szCs w:val="30"/>
          <w:rtl/>
        </w:rPr>
        <w:footnoteReference w:id="1"/>
      </w:r>
      <w:r w:rsidRPr="00445F22">
        <w:rPr>
          <w:rFonts w:cs="Traditional Arabic"/>
          <w:w w:val="95"/>
          <w:sz w:val="20"/>
          <w:szCs w:val="30"/>
          <w:vertAlign w:val="superscript"/>
          <w:rtl/>
        </w:rPr>
        <w:t>)</w:t>
      </w:r>
    </w:p>
    <w:p w:rsidR="009D71FF" w:rsidRPr="00445F22" w:rsidRDefault="009D71FF" w:rsidP="009D71FF">
      <w:pPr>
        <w:spacing w:after="120" w:line="400" w:lineRule="exact"/>
        <w:ind w:left="1440" w:firstLine="720"/>
        <w:jc w:val="both"/>
        <w:rPr>
          <w:rFonts w:cs="Traditional Arabic"/>
          <w:w w:val="95"/>
          <w:sz w:val="20"/>
          <w:szCs w:val="30"/>
          <w:rtl/>
        </w:rPr>
      </w:pPr>
      <w:r w:rsidRPr="00445F22">
        <w:rPr>
          <w:rFonts w:cs="Traditional Arabic"/>
          <w:w w:val="95"/>
          <w:sz w:val="20"/>
          <w:szCs w:val="30"/>
          <w:rtl/>
        </w:rPr>
        <w:t>3 -</w:t>
      </w:r>
      <w:r w:rsidRPr="00445F22">
        <w:rPr>
          <w:rFonts w:cs="Traditional Arabic"/>
          <w:w w:val="95"/>
          <w:sz w:val="20"/>
          <w:szCs w:val="30"/>
          <w:rtl/>
        </w:rPr>
        <w:tab/>
      </w:r>
      <w:r w:rsidRPr="00445F22">
        <w:rPr>
          <w:rFonts w:cs="Traditional Arabic"/>
          <w:i/>
          <w:iCs/>
          <w:w w:val="95"/>
          <w:sz w:val="20"/>
          <w:szCs w:val="30"/>
          <w:rtl/>
        </w:rPr>
        <w:t>يستحث</w:t>
      </w:r>
      <w:r w:rsidRPr="00445F22">
        <w:rPr>
          <w:rFonts w:cs="Traditional Arabic"/>
          <w:w w:val="95"/>
          <w:sz w:val="20"/>
          <w:szCs w:val="30"/>
          <w:rtl/>
        </w:rPr>
        <w:t xml:space="preserve"> الأطراف على استخدام الدليل للقيام، حسب مقتضى الحال، بتدريب أعضاء المدعين والهيئات القضائية واتخاذ جميع الخطوات العملية لإدراج عناصر الدليل الوثيقة الصلة في مناهج التدريب الوطنية لهؤلاء الأفراد القائمين بالإنفاذ؛</w:t>
      </w:r>
    </w:p>
    <w:p w:rsidR="009D71FF" w:rsidRPr="00445F22" w:rsidRDefault="009D71FF" w:rsidP="009D71FF">
      <w:pPr>
        <w:spacing w:after="120" w:line="400" w:lineRule="exact"/>
        <w:ind w:left="1440" w:firstLine="720"/>
        <w:jc w:val="both"/>
        <w:rPr>
          <w:rFonts w:cs="Traditional Arabic"/>
          <w:w w:val="95"/>
          <w:sz w:val="20"/>
          <w:szCs w:val="30"/>
          <w:rtl/>
        </w:rPr>
      </w:pPr>
      <w:r w:rsidRPr="00445F22">
        <w:rPr>
          <w:rFonts w:cs="Traditional Arabic"/>
          <w:w w:val="95"/>
          <w:sz w:val="20"/>
          <w:szCs w:val="30"/>
          <w:rtl/>
        </w:rPr>
        <w:t>4 -</w:t>
      </w:r>
      <w:r w:rsidRPr="00445F22">
        <w:rPr>
          <w:rFonts w:cs="Traditional Arabic"/>
          <w:w w:val="95"/>
          <w:sz w:val="20"/>
          <w:szCs w:val="30"/>
          <w:rtl/>
        </w:rPr>
        <w:tab/>
      </w:r>
      <w:r w:rsidRPr="00445F22">
        <w:rPr>
          <w:rFonts w:cs="Traditional Arabic"/>
          <w:i/>
          <w:iCs/>
          <w:w w:val="95"/>
          <w:sz w:val="20"/>
          <w:szCs w:val="30"/>
          <w:rtl/>
        </w:rPr>
        <w:t>يطلب</w:t>
      </w:r>
      <w:r w:rsidRPr="00445F22">
        <w:rPr>
          <w:rFonts w:cs="Traditional Arabic"/>
          <w:w w:val="95"/>
          <w:sz w:val="20"/>
          <w:szCs w:val="30"/>
          <w:rtl/>
        </w:rPr>
        <w:t xml:space="preserve"> إلى الأمانة، رهناً بتوافر التمويل، أن تنشر الدليل بلغات الأمم المتحدة الرسمية الست وأن تنظم أنشطة تدريب، بالتعاون مع المراكز الإقليمية والتنسيقية لاتفاقية بازل وأمانات الاتفاقات البيئية المتعددة الأطراف الأخرى والمنظمات والوكالات والبرامج الدولية الأخرى؛</w:t>
      </w:r>
    </w:p>
    <w:p w:rsidR="009D71FF" w:rsidRPr="00445F22" w:rsidRDefault="009D71FF" w:rsidP="009D71FF">
      <w:pPr>
        <w:spacing w:after="120" w:line="400" w:lineRule="exact"/>
        <w:ind w:left="1440" w:firstLine="720"/>
        <w:jc w:val="both"/>
        <w:rPr>
          <w:rFonts w:cs="Traditional Arabic"/>
          <w:w w:val="95"/>
          <w:sz w:val="20"/>
          <w:szCs w:val="30"/>
          <w:rtl/>
        </w:rPr>
      </w:pPr>
      <w:r w:rsidRPr="00445F22">
        <w:rPr>
          <w:rFonts w:cs="Traditional Arabic"/>
          <w:w w:val="95"/>
          <w:sz w:val="20"/>
          <w:szCs w:val="30"/>
          <w:rtl/>
        </w:rPr>
        <w:t>5 -</w:t>
      </w:r>
      <w:r w:rsidRPr="00445F22">
        <w:rPr>
          <w:rFonts w:cs="Traditional Arabic"/>
          <w:w w:val="95"/>
          <w:sz w:val="20"/>
          <w:szCs w:val="30"/>
          <w:rtl/>
        </w:rPr>
        <w:tab/>
      </w:r>
      <w:r w:rsidRPr="00445F22">
        <w:rPr>
          <w:rFonts w:cs="Traditional Arabic"/>
          <w:i/>
          <w:iCs/>
          <w:w w:val="95"/>
          <w:sz w:val="20"/>
          <w:szCs w:val="30"/>
          <w:rtl/>
        </w:rPr>
        <w:t>يعرب عن تقديره</w:t>
      </w:r>
      <w:r w:rsidRPr="00445F22">
        <w:rPr>
          <w:rFonts w:cs="Traditional Arabic"/>
          <w:w w:val="95"/>
          <w:sz w:val="20"/>
          <w:szCs w:val="30"/>
          <w:rtl/>
        </w:rPr>
        <w:t xml:space="preserve"> للمفوضية الأوروبية وحكومة النرويج لما قدمتاه من دعم مالي لوضع الدليل ونشره.</w:t>
      </w:r>
    </w:p>
    <w:p w:rsidR="008C689F" w:rsidRDefault="008C689F"/>
    <w:sectPr w:rsidR="008C689F" w:rsidSect="008C68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A90" w:rsidRDefault="001A4A90" w:rsidP="009D71FF">
      <w:r>
        <w:separator/>
      </w:r>
    </w:p>
  </w:endnote>
  <w:endnote w:type="continuationSeparator" w:id="0">
    <w:p w:rsidR="001A4A90" w:rsidRDefault="001A4A90" w:rsidP="009D71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A90" w:rsidRDefault="001A4A90" w:rsidP="009D71FF">
      <w:r>
        <w:separator/>
      </w:r>
    </w:p>
  </w:footnote>
  <w:footnote w:type="continuationSeparator" w:id="0">
    <w:p w:rsidR="001A4A90" w:rsidRDefault="001A4A90" w:rsidP="009D71FF">
      <w:r>
        <w:continuationSeparator/>
      </w:r>
    </w:p>
  </w:footnote>
  <w:footnote w:id="1">
    <w:p w:rsidR="009D71FF" w:rsidRPr="00781753" w:rsidRDefault="009D71FF" w:rsidP="009D71FF">
      <w:pPr>
        <w:pStyle w:val="FootnoteText"/>
        <w:spacing w:after="80" w:line="320" w:lineRule="exact"/>
        <w:ind w:left="1440"/>
        <w:rPr>
          <w:rFonts w:cs="Traditional Arabic"/>
          <w:sz w:val="18"/>
          <w:szCs w:val="26"/>
          <w:rtl/>
        </w:rPr>
      </w:pPr>
      <w:r w:rsidRPr="00781753">
        <w:rPr>
          <w:rFonts w:cs="Traditional Arabic" w:hint="cs"/>
          <w:sz w:val="18"/>
          <w:szCs w:val="26"/>
          <w:rtl/>
        </w:rPr>
        <w:t>(</w:t>
      </w:r>
      <w:r w:rsidRPr="00781753">
        <w:rPr>
          <w:rFonts w:cs="Traditional Arabic"/>
          <w:sz w:val="18"/>
          <w:szCs w:val="26"/>
          <w:rtl/>
        </w:rPr>
        <w:footnoteRef/>
      </w:r>
      <w:r w:rsidRPr="00781753">
        <w:rPr>
          <w:rFonts w:cs="Traditional Arabic" w:hint="cs"/>
          <w:sz w:val="18"/>
          <w:szCs w:val="26"/>
          <w:rtl/>
        </w:rPr>
        <w:t>)</w:t>
      </w:r>
      <w:r w:rsidRPr="00781753">
        <w:rPr>
          <w:rFonts w:cs="Traditional Arabic" w:hint="cs"/>
          <w:sz w:val="18"/>
          <w:szCs w:val="26"/>
          <w:rtl/>
        </w:rPr>
        <w:tab/>
      </w:r>
      <w:r w:rsidRPr="00781753">
        <w:rPr>
          <w:rFonts w:cs="Traditional Arabic"/>
          <w:sz w:val="18"/>
          <w:szCs w:val="26"/>
        </w:rPr>
        <w:t>UNEP/CHW.10/12/Add.1</w:t>
      </w:r>
      <w:r w:rsidRPr="00781753">
        <w:rPr>
          <w:rFonts w:cs="Traditional Arabic" w:hint="cs"/>
          <w:sz w:val="18"/>
          <w:szCs w:val="26"/>
          <w:rtl/>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9D71FF"/>
    <w:rsid w:val="001A4A90"/>
    <w:rsid w:val="008C689F"/>
    <w:rsid w:val="009D71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1FF"/>
    <w:pPr>
      <w:bidi/>
      <w:spacing w:after="0" w:line="240" w:lineRule="auto"/>
    </w:pPr>
    <w:rPr>
      <w:rFonts w:ascii="Times New Roman" w:eastAsia="Times New Roman" w:hAnsi="Times New Roman"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
    <w:basedOn w:val="Normal"/>
    <w:link w:val="FootnoteTextChar"/>
    <w:semiHidden/>
    <w:rsid w:val="009D71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
    <w:basedOn w:val="DefaultParagraphFont"/>
    <w:link w:val="FootnoteText"/>
    <w:semiHidden/>
    <w:rsid w:val="009D71FF"/>
    <w:rPr>
      <w:rFonts w:ascii="Times New Roman" w:eastAsia="Times New Roman" w:hAnsi="Times New Roman" w:cs="Simplified Arabic"/>
      <w:sz w:val="20"/>
      <w:szCs w:val="20"/>
    </w:rPr>
  </w:style>
  <w:style w:type="character" w:styleId="FootnoteReference">
    <w:name w:val="footnote reference"/>
    <w:aliases w:val="16 Point,Superscript 6 Point,ftref"/>
    <w:basedOn w:val="DefaultParagraphFont"/>
    <w:semiHidden/>
    <w:rsid w:val="009D71F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Company>BRS</Company>
  <LinksUpToDate>false</LinksUpToDate>
  <CharactersWithSpaces>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2018-02-21T16:23:00Z</dcterms:created>
  <dcterms:modified xsi:type="dcterms:W3CDTF">2018-02-21T16:23:00Z</dcterms:modified>
</cp:coreProperties>
</file>