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D69" w:rsidRPr="00245E6B" w:rsidRDefault="00EC4D69" w:rsidP="00EC4D69">
      <w:pPr>
        <w:spacing w:before="240" w:after="180" w:line="400" w:lineRule="exact"/>
        <w:ind w:left="1440"/>
        <w:jc w:val="both"/>
        <w:rPr>
          <w:rFonts w:cs="Traditional Arabic"/>
          <w:b/>
          <w:bCs/>
          <w:color w:val="000000"/>
          <w:sz w:val="32"/>
          <w:szCs w:val="32"/>
          <w:rtl/>
        </w:rPr>
      </w:pPr>
      <w:r w:rsidRPr="00245E6B">
        <w:rPr>
          <w:rFonts w:cs="Traditional Arabic"/>
          <w:b/>
          <w:bCs/>
          <w:color w:val="000000"/>
          <w:sz w:val="32"/>
          <w:szCs w:val="32"/>
          <w:rtl/>
        </w:rPr>
        <w:t xml:space="preserve">المقرر ا ب-10/25: برنامج عمل الفريق العامل المفتوح العضوية للفترة 2012-2013 </w:t>
      </w:r>
    </w:p>
    <w:p w:rsidR="00EC4D69" w:rsidRPr="00EF6AE3" w:rsidRDefault="00EC4D69" w:rsidP="00EC4D69">
      <w:pPr>
        <w:spacing w:after="120" w:line="400" w:lineRule="exact"/>
        <w:ind w:left="2160"/>
        <w:jc w:val="both"/>
        <w:rPr>
          <w:rFonts w:cs="Traditional Arabic"/>
          <w:i/>
          <w:iCs/>
          <w:sz w:val="20"/>
          <w:szCs w:val="30"/>
          <w:rtl/>
        </w:rPr>
      </w:pPr>
      <w:r w:rsidRPr="00EF6AE3">
        <w:rPr>
          <w:rFonts w:cs="Traditional Arabic"/>
          <w:i/>
          <w:iCs/>
          <w:sz w:val="20"/>
          <w:szCs w:val="30"/>
          <w:rtl/>
        </w:rPr>
        <w:t>إن مؤتمر الأطراف،</w:t>
      </w:r>
    </w:p>
    <w:p w:rsidR="00EC4D69" w:rsidRPr="00BB23EF" w:rsidRDefault="00EC4D69" w:rsidP="00EC4D69">
      <w:pPr>
        <w:spacing w:after="120" w:line="400" w:lineRule="exact"/>
        <w:ind w:left="1440" w:firstLine="720"/>
        <w:jc w:val="both"/>
        <w:rPr>
          <w:rFonts w:cs="Traditional Arabic"/>
          <w:sz w:val="20"/>
          <w:szCs w:val="30"/>
          <w:rtl/>
        </w:rPr>
      </w:pPr>
      <w:r w:rsidRPr="00BB23EF">
        <w:rPr>
          <w:rFonts w:cs="Traditional Arabic"/>
          <w:sz w:val="20"/>
          <w:szCs w:val="30"/>
          <w:rtl/>
        </w:rPr>
        <w:t>1</w:t>
      </w:r>
      <w:r>
        <w:rPr>
          <w:rFonts w:cs="Traditional Arabic"/>
          <w:sz w:val="20"/>
          <w:szCs w:val="30"/>
          <w:rtl/>
        </w:rPr>
        <w:t xml:space="preserve"> </w:t>
      </w:r>
      <w:r w:rsidRPr="00BB23EF">
        <w:rPr>
          <w:rFonts w:cs="Traditional Arabic"/>
          <w:sz w:val="20"/>
          <w:szCs w:val="30"/>
          <w:rtl/>
        </w:rPr>
        <w:t>-</w:t>
      </w:r>
      <w:r>
        <w:rPr>
          <w:rFonts w:cs="Traditional Arabic"/>
          <w:sz w:val="20"/>
          <w:szCs w:val="30"/>
          <w:rtl/>
        </w:rPr>
        <w:tab/>
      </w:r>
      <w:r w:rsidRPr="00BB23EF">
        <w:rPr>
          <w:rFonts w:cs="Traditional Arabic"/>
          <w:sz w:val="20"/>
          <w:szCs w:val="30"/>
          <w:rtl/>
        </w:rPr>
        <w:t>يعتمد برنامج عمل الفريق العامل المفتوح العضوية للفترة 2012-2013 على النحو الوارد في مرفق هذا المقرر؛</w:t>
      </w:r>
    </w:p>
    <w:p w:rsidR="00EC4D69" w:rsidRPr="00BB23EF" w:rsidRDefault="00EC4D69" w:rsidP="00EC4D69">
      <w:pPr>
        <w:spacing w:after="120" w:line="400" w:lineRule="exact"/>
        <w:ind w:left="1440" w:firstLine="720"/>
        <w:jc w:val="both"/>
        <w:rPr>
          <w:rFonts w:cs="Traditional Arabic"/>
          <w:sz w:val="20"/>
          <w:szCs w:val="30"/>
          <w:rtl/>
        </w:rPr>
      </w:pPr>
      <w:r w:rsidRPr="00BB23EF">
        <w:rPr>
          <w:rFonts w:cs="Traditional Arabic"/>
          <w:sz w:val="20"/>
          <w:szCs w:val="30"/>
          <w:rtl/>
        </w:rPr>
        <w:t>2</w:t>
      </w:r>
      <w:r>
        <w:rPr>
          <w:rFonts w:cs="Traditional Arabic"/>
          <w:sz w:val="20"/>
          <w:szCs w:val="30"/>
          <w:rtl/>
        </w:rPr>
        <w:t xml:space="preserve"> </w:t>
      </w:r>
      <w:r w:rsidRPr="00BB23EF">
        <w:rPr>
          <w:rFonts w:cs="Traditional Arabic"/>
          <w:sz w:val="20"/>
          <w:szCs w:val="30"/>
          <w:rtl/>
        </w:rPr>
        <w:t>-</w:t>
      </w:r>
      <w:r>
        <w:rPr>
          <w:rFonts w:cs="Traditional Arabic"/>
          <w:sz w:val="20"/>
          <w:szCs w:val="30"/>
          <w:rtl/>
        </w:rPr>
        <w:tab/>
      </w:r>
      <w:r w:rsidRPr="00BB23EF">
        <w:rPr>
          <w:rFonts w:cs="Traditional Arabic"/>
          <w:sz w:val="20"/>
          <w:szCs w:val="30"/>
          <w:rtl/>
        </w:rPr>
        <w:t>ينتخب الممثلين التالية أسماؤهم أعضاء في مكتب الفريق العامل المفتوح العضوية لفترة السنتين 2012-2013:</w:t>
      </w:r>
    </w:p>
    <w:p w:rsidR="00EC4D69" w:rsidRPr="00BB23EF" w:rsidRDefault="00EC4D69" w:rsidP="00EC4D69">
      <w:pPr>
        <w:spacing w:line="400" w:lineRule="exact"/>
        <w:ind w:left="2160"/>
        <w:rPr>
          <w:rFonts w:cs="Traditional Arabic"/>
          <w:sz w:val="20"/>
          <w:szCs w:val="30"/>
          <w:rtl/>
        </w:rPr>
      </w:pPr>
      <w:r w:rsidRPr="00BB23EF">
        <w:rPr>
          <w:rFonts w:cs="Traditional Arabic"/>
          <w:sz w:val="20"/>
          <w:szCs w:val="30"/>
          <w:rtl/>
        </w:rPr>
        <w:t>الرئيسان المشا</w:t>
      </w:r>
      <w:r>
        <w:rPr>
          <w:rFonts w:cs="Traditional Arabic"/>
          <w:sz w:val="20"/>
          <w:szCs w:val="30"/>
          <w:rtl/>
        </w:rPr>
        <w:t>ركان:</w:t>
      </w:r>
      <w:r>
        <w:rPr>
          <w:rFonts w:cs="Traditional Arabic"/>
          <w:sz w:val="20"/>
          <w:szCs w:val="30"/>
          <w:rtl/>
        </w:rPr>
        <w:tab/>
      </w:r>
      <w:r w:rsidRPr="00BB23EF">
        <w:rPr>
          <w:rFonts w:cs="Traditional Arabic"/>
          <w:sz w:val="20"/>
          <w:szCs w:val="30"/>
          <w:rtl/>
        </w:rPr>
        <w:t>السيدة مارسيلا بونيلا (كولومبيا) (تقنية)</w:t>
      </w:r>
    </w:p>
    <w:p w:rsidR="00EC4D69" w:rsidRPr="00BB23EF" w:rsidRDefault="00EC4D69" w:rsidP="00EC4D69">
      <w:pPr>
        <w:spacing w:after="120" w:line="400" w:lineRule="exact"/>
        <w:ind w:left="2160"/>
        <w:rPr>
          <w:rFonts w:cs="Traditional Arabic"/>
          <w:sz w:val="20"/>
          <w:szCs w:val="30"/>
          <w:rtl/>
        </w:rPr>
      </w:pPr>
      <w:r>
        <w:rPr>
          <w:rFonts w:cs="Traditional Arabic"/>
          <w:sz w:val="20"/>
          <w:szCs w:val="30"/>
          <w:rtl/>
        </w:rPr>
        <w:tab/>
      </w:r>
      <w:r>
        <w:rPr>
          <w:rFonts w:cs="Traditional Arabic"/>
          <w:sz w:val="20"/>
          <w:szCs w:val="30"/>
          <w:rtl/>
        </w:rPr>
        <w:tab/>
      </w:r>
      <w:r>
        <w:rPr>
          <w:rFonts w:cs="Traditional Arabic"/>
          <w:sz w:val="20"/>
          <w:szCs w:val="30"/>
          <w:rtl/>
        </w:rPr>
        <w:tab/>
      </w:r>
      <w:r w:rsidRPr="00BB23EF">
        <w:rPr>
          <w:rFonts w:cs="Traditional Arabic"/>
          <w:sz w:val="20"/>
          <w:szCs w:val="30"/>
          <w:rtl/>
        </w:rPr>
        <w:t>السيد لؤي س المختار (العراق) (قانوني)</w:t>
      </w:r>
    </w:p>
    <w:p w:rsidR="00EC4D69" w:rsidRPr="00BB23EF" w:rsidRDefault="00EC4D69" w:rsidP="00EC4D69">
      <w:pPr>
        <w:spacing w:line="400" w:lineRule="exact"/>
        <w:ind w:left="2160"/>
        <w:rPr>
          <w:rFonts w:cs="Traditional Arabic"/>
          <w:sz w:val="20"/>
          <w:szCs w:val="30"/>
          <w:rtl/>
        </w:rPr>
      </w:pPr>
      <w:r w:rsidRPr="00BB23EF">
        <w:rPr>
          <w:rFonts w:cs="Traditional Arabic"/>
          <w:sz w:val="20"/>
          <w:szCs w:val="30"/>
          <w:rtl/>
        </w:rPr>
        <w:t>نائبا الرئيسين:</w:t>
      </w:r>
      <w:r>
        <w:rPr>
          <w:rFonts w:cs="Traditional Arabic"/>
          <w:sz w:val="20"/>
          <w:szCs w:val="30"/>
          <w:rtl/>
        </w:rPr>
        <w:tab/>
      </w:r>
      <w:r>
        <w:rPr>
          <w:rFonts w:cs="Traditional Arabic"/>
          <w:sz w:val="20"/>
          <w:szCs w:val="30"/>
          <w:rtl/>
        </w:rPr>
        <w:tab/>
        <w:t>السيد جميس مولول</w:t>
      </w:r>
      <w:r w:rsidRPr="00BB23EF">
        <w:rPr>
          <w:rFonts w:cs="Traditional Arabic"/>
          <w:sz w:val="20"/>
          <w:szCs w:val="30"/>
          <w:rtl/>
        </w:rPr>
        <w:t>و (زامبيا) (تقني)</w:t>
      </w:r>
    </w:p>
    <w:p w:rsidR="00EC4D69" w:rsidRPr="00BB23EF" w:rsidRDefault="00EC4D69" w:rsidP="00EC4D69">
      <w:pPr>
        <w:spacing w:after="120" w:line="400" w:lineRule="exact"/>
        <w:ind w:left="2160"/>
        <w:rPr>
          <w:rFonts w:cs="Traditional Arabic"/>
          <w:sz w:val="20"/>
          <w:szCs w:val="30"/>
          <w:rtl/>
        </w:rPr>
      </w:pPr>
      <w:r w:rsidRPr="00BB23EF">
        <w:rPr>
          <w:rFonts w:cs="Traditional Arabic"/>
          <w:sz w:val="20"/>
          <w:szCs w:val="30"/>
          <w:rtl/>
        </w:rPr>
        <w:tab/>
      </w:r>
      <w:r>
        <w:rPr>
          <w:rFonts w:cs="Traditional Arabic"/>
          <w:sz w:val="20"/>
          <w:szCs w:val="30"/>
          <w:rtl/>
        </w:rPr>
        <w:tab/>
      </w:r>
      <w:r>
        <w:rPr>
          <w:rFonts w:cs="Traditional Arabic"/>
          <w:sz w:val="20"/>
          <w:szCs w:val="30"/>
          <w:rtl/>
        </w:rPr>
        <w:tab/>
      </w:r>
      <w:r w:rsidRPr="00BB23EF">
        <w:rPr>
          <w:rFonts w:cs="Traditional Arabic"/>
          <w:sz w:val="20"/>
          <w:szCs w:val="30"/>
          <w:rtl/>
        </w:rPr>
        <w:t>السيد فلاديمير لينيف (الاتحاد الروسي) (قانوني)</w:t>
      </w:r>
    </w:p>
    <w:p w:rsidR="00EC4D69" w:rsidRDefault="00EC4D69" w:rsidP="00EC4D69">
      <w:pPr>
        <w:spacing w:after="120" w:line="400" w:lineRule="exact"/>
        <w:ind w:left="2160"/>
        <w:rPr>
          <w:rFonts w:cs="Traditional Arabic"/>
          <w:b/>
          <w:bCs/>
          <w:sz w:val="20"/>
          <w:szCs w:val="30"/>
          <w:rtl/>
        </w:rPr>
      </w:pPr>
      <w:r w:rsidRPr="00BB23EF">
        <w:rPr>
          <w:rFonts w:cs="Traditional Arabic"/>
          <w:sz w:val="20"/>
          <w:szCs w:val="30"/>
          <w:rtl/>
        </w:rPr>
        <w:t>المقرر:</w:t>
      </w:r>
      <w:r>
        <w:rPr>
          <w:rFonts w:cs="Traditional Arabic"/>
          <w:sz w:val="20"/>
          <w:szCs w:val="30"/>
          <w:rtl/>
        </w:rPr>
        <w:tab/>
      </w:r>
      <w:r>
        <w:rPr>
          <w:rFonts w:cs="Traditional Arabic"/>
          <w:sz w:val="20"/>
          <w:szCs w:val="30"/>
          <w:rtl/>
        </w:rPr>
        <w:tab/>
      </w:r>
      <w:r>
        <w:rPr>
          <w:rFonts w:cs="Traditional Arabic"/>
          <w:sz w:val="20"/>
          <w:szCs w:val="30"/>
          <w:rtl/>
        </w:rPr>
        <w:tab/>
      </w:r>
      <w:r w:rsidRPr="00BB23EF">
        <w:rPr>
          <w:rFonts w:cs="Traditional Arabic"/>
          <w:sz w:val="20"/>
          <w:szCs w:val="30"/>
          <w:rtl/>
        </w:rPr>
        <w:t>السيد توماس آرنيو (فنلندا</w:t>
      </w:r>
      <w:r w:rsidRPr="00BB23EF">
        <w:rPr>
          <w:rFonts w:cs="Traditional Arabic"/>
          <w:b/>
          <w:bCs/>
          <w:sz w:val="20"/>
          <w:szCs w:val="30"/>
          <w:rtl/>
        </w:rPr>
        <w:t>)</w:t>
      </w:r>
    </w:p>
    <w:p w:rsidR="00EC4D69" w:rsidRPr="008102D2" w:rsidRDefault="00EC4D69" w:rsidP="00EC4D69">
      <w:pPr>
        <w:spacing w:before="240" w:after="120" w:line="400" w:lineRule="exact"/>
        <w:ind w:left="1440"/>
        <w:rPr>
          <w:rFonts w:cs="Traditional Arabic"/>
          <w:b/>
          <w:bCs/>
          <w:sz w:val="32"/>
          <w:szCs w:val="32"/>
          <w:rtl/>
        </w:rPr>
      </w:pPr>
      <w:r w:rsidRPr="008102D2">
        <w:rPr>
          <w:rFonts w:cs="Traditional Arabic"/>
          <w:b/>
          <w:bCs/>
          <w:sz w:val="32"/>
          <w:szCs w:val="32"/>
          <w:rtl/>
        </w:rPr>
        <w:t>مرفق المقرر ا ب10/25</w:t>
      </w:r>
    </w:p>
    <w:p w:rsidR="00EC4D69" w:rsidRPr="008102D2" w:rsidRDefault="00EC4D69" w:rsidP="00EC4D69">
      <w:pPr>
        <w:spacing w:after="120" w:line="400" w:lineRule="exact"/>
        <w:ind w:left="1440"/>
        <w:rPr>
          <w:rFonts w:cs="Traditional Arabic"/>
          <w:b/>
          <w:bCs/>
          <w:sz w:val="20"/>
          <w:szCs w:val="30"/>
          <w:rtl/>
        </w:rPr>
      </w:pPr>
      <w:r w:rsidRPr="008102D2">
        <w:rPr>
          <w:rFonts w:cs="Traditional Arabic"/>
          <w:b/>
          <w:bCs/>
          <w:sz w:val="20"/>
          <w:szCs w:val="30"/>
          <w:rtl/>
        </w:rPr>
        <w:t xml:space="preserve">برنامج عمل الفريق العامل المفتوح العضوية للفترة 2012-2013 </w:t>
      </w:r>
    </w:p>
    <w:tbl>
      <w:tblPr>
        <w:bidiVisual/>
        <w:tblW w:w="7924" w:type="dxa"/>
        <w:tblInd w:w="1554" w:type="dxa"/>
        <w:tblLook w:val="01E0"/>
      </w:tblPr>
      <w:tblGrid>
        <w:gridCol w:w="1903"/>
        <w:gridCol w:w="3460"/>
        <w:gridCol w:w="1557"/>
        <w:gridCol w:w="1004"/>
      </w:tblGrid>
      <w:tr w:rsidR="00EC4D69" w:rsidRPr="00BB23EF" w:rsidTr="000408C1">
        <w:tc>
          <w:tcPr>
            <w:tcW w:w="7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272DC9" w:rsidRDefault="00EC4D69" w:rsidP="000408C1">
            <w:pPr>
              <w:tabs>
                <w:tab w:val="left" w:pos="850"/>
              </w:tabs>
              <w:spacing w:after="80" w:line="360" w:lineRule="exact"/>
              <w:jc w:val="both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  <w:r w:rsidRPr="00272DC9">
              <w:rPr>
                <w:rFonts w:cs="Traditional Arabic"/>
                <w:b/>
                <w:bCs/>
                <w:i/>
                <w:iCs/>
                <w:sz w:val="20"/>
                <w:rtl/>
              </w:rPr>
              <w:t>أولا</w:t>
            </w:r>
            <w:r>
              <w:rPr>
                <w:rFonts w:cs="Traditional Arabic"/>
                <w:b/>
                <w:bCs/>
                <w:i/>
                <w:iCs/>
                <w:sz w:val="20"/>
                <w:rtl/>
              </w:rPr>
              <w:t xml:space="preserve">ً </w:t>
            </w:r>
            <w:r w:rsidRPr="00272DC9">
              <w:rPr>
                <w:rFonts w:cs="Traditional Arabic"/>
                <w:b/>
                <w:bCs/>
                <w:i/>
                <w:iCs/>
                <w:sz w:val="20"/>
                <w:rtl/>
              </w:rPr>
              <w:t>-</w:t>
            </w:r>
            <w:r>
              <w:rPr>
                <w:rtl/>
              </w:rPr>
              <w:tab/>
            </w:r>
            <w:r w:rsidRPr="00272DC9">
              <w:rPr>
                <w:rFonts w:cs="Traditional Arabic"/>
                <w:b/>
                <w:bCs/>
                <w:i/>
                <w:iCs/>
                <w:sz w:val="20"/>
                <w:rtl/>
              </w:rPr>
              <w:t>المسائل الاستراتيجية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w w:val="95"/>
                <w:sz w:val="20"/>
                <w:rtl/>
              </w:rPr>
            </w:pPr>
            <w:r w:rsidRPr="00587577">
              <w:rPr>
                <w:rFonts w:cs="Traditional Arabic"/>
                <w:b/>
                <w:bCs/>
                <w:w w:val="95"/>
                <w:sz w:val="20"/>
                <w:rtl/>
              </w:rPr>
              <w:t>الموضوعات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w w:val="95"/>
                <w:sz w:val="20"/>
                <w:rtl/>
              </w:rPr>
            </w:pPr>
            <w:r w:rsidRPr="00587577">
              <w:rPr>
                <w:rFonts w:cs="Traditional Arabic"/>
                <w:b/>
                <w:bCs/>
                <w:w w:val="95"/>
                <w:sz w:val="20"/>
                <w:rtl/>
              </w:rPr>
              <w:t>الأنشطة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w w:val="95"/>
                <w:sz w:val="20"/>
                <w:rtl/>
              </w:rPr>
            </w:pPr>
            <w:r w:rsidRPr="00587577">
              <w:rPr>
                <w:rFonts w:cs="Traditional Arabic"/>
                <w:b/>
                <w:bCs/>
                <w:w w:val="95"/>
                <w:sz w:val="20"/>
                <w:rtl/>
              </w:rPr>
              <w:t>مقررات مؤتمر الأطراف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w w:val="95"/>
                <w:sz w:val="20"/>
                <w:rtl/>
              </w:rPr>
            </w:pPr>
            <w:r w:rsidRPr="00587577">
              <w:rPr>
                <w:rFonts w:cs="Traditional Arabic"/>
                <w:b/>
                <w:bCs/>
                <w:w w:val="95"/>
                <w:sz w:val="20"/>
                <w:rtl/>
              </w:rPr>
              <w:t>الأولوية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EA66E1" w:rsidRDefault="00EC4D69" w:rsidP="000408C1">
            <w:pPr>
              <w:tabs>
                <w:tab w:val="left" w:pos="677"/>
              </w:tabs>
              <w:spacing w:after="80" w:line="360" w:lineRule="exact"/>
              <w:rPr>
                <w:rFonts w:cs="Traditional Arabic"/>
                <w:sz w:val="20"/>
                <w:rtl/>
              </w:rPr>
            </w:pPr>
            <w:r w:rsidRPr="00EA66E1">
              <w:rPr>
                <w:rFonts w:cs="Traditional Arabic"/>
                <w:sz w:val="20"/>
                <w:rtl/>
              </w:rPr>
              <w:t>ألف</w:t>
            </w:r>
            <w:r>
              <w:rPr>
                <w:rFonts w:cs="Traditional Arabic"/>
                <w:sz w:val="20"/>
                <w:rtl/>
              </w:rPr>
              <w:t xml:space="preserve"> </w:t>
            </w:r>
            <w:r w:rsidRPr="00EA66E1">
              <w:rPr>
                <w:rFonts w:cs="Traditional Arabic"/>
                <w:sz w:val="20"/>
                <w:rtl/>
              </w:rPr>
              <w:t>-</w:t>
            </w:r>
            <w:r w:rsidRPr="00272DC9">
              <w:rPr>
                <w:b/>
                <w:bCs/>
                <w:rtl/>
              </w:rPr>
              <w:tab/>
            </w:r>
            <w:r w:rsidRPr="00EA66E1">
              <w:rPr>
                <w:rFonts w:cs="Traditional Arabic"/>
                <w:sz w:val="20"/>
                <w:rtl/>
              </w:rPr>
              <w:t>الإطار الاستراتيجي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توفير التوجيه للأمانة وللمراكز الإقليمية لاتفاقية بازل بشأن الجهود الرامية إلى دعم تطوير وتنفيذ الإطار الاستراتيجي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ا ب-10/2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عالية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EA66E1" w:rsidRDefault="00EC4D69" w:rsidP="000408C1">
            <w:pPr>
              <w:tabs>
                <w:tab w:val="left" w:pos="677"/>
              </w:tabs>
              <w:spacing w:after="80" w:line="360" w:lineRule="exact"/>
              <w:rPr>
                <w:rFonts w:cs="Traditional Arabic"/>
                <w:sz w:val="20"/>
                <w:rtl/>
              </w:rPr>
            </w:pPr>
            <w:r w:rsidRPr="00EA66E1">
              <w:rPr>
                <w:rFonts w:cs="Traditional Arabic"/>
                <w:sz w:val="20"/>
                <w:rtl/>
              </w:rPr>
              <w:t>باء</w:t>
            </w:r>
            <w:r>
              <w:rPr>
                <w:rFonts w:cs="Traditional Arabic"/>
                <w:sz w:val="20"/>
                <w:rtl/>
              </w:rPr>
              <w:t xml:space="preserve"> </w:t>
            </w:r>
            <w:r w:rsidRPr="00EA66E1">
              <w:rPr>
                <w:rFonts w:cs="Traditional Arabic"/>
                <w:sz w:val="20"/>
                <w:rtl/>
              </w:rPr>
              <w:t>-</w:t>
            </w:r>
            <w:r w:rsidRPr="00EA66E1">
              <w:rPr>
                <w:rFonts w:cs="Traditional Arabic"/>
                <w:sz w:val="20"/>
                <w:rtl/>
              </w:rPr>
              <w:tab/>
            </w:r>
            <w:r w:rsidRPr="00587577">
              <w:rPr>
                <w:rFonts w:cs="Traditional Arabic"/>
                <w:sz w:val="20"/>
                <w:rtl/>
              </w:rPr>
              <w:t xml:space="preserve">المراكز الإقليمية </w:t>
            </w:r>
            <w:r>
              <w:rPr>
                <w:rFonts w:cs="Traditional Arabic"/>
                <w:sz w:val="20"/>
                <w:rtl/>
              </w:rPr>
              <w:t>و</w:t>
            </w:r>
            <w:r w:rsidRPr="00587577">
              <w:rPr>
                <w:rFonts w:cs="Traditional Arabic"/>
                <w:sz w:val="20"/>
                <w:rtl/>
              </w:rPr>
              <w:t>التنسيق</w:t>
            </w:r>
            <w:r>
              <w:rPr>
                <w:rFonts w:cs="Traditional Arabic"/>
                <w:sz w:val="20"/>
                <w:rtl/>
              </w:rPr>
              <w:t>ية</w:t>
            </w:r>
            <w:r w:rsidRPr="00587577">
              <w:rPr>
                <w:rFonts w:cs="Traditional Arabic"/>
                <w:sz w:val="20"/>
                <w:rtl/>
              </w:rPr>
              <w:t xml:space="preserve"> لاتفاقية بازل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رصد عملية تقوية المراكز الإقليمية والتنسيقية لاتفاقية بازل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ا ب-10/4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عالية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tabs>
                <w:tab w:val="left" w:pos="677"/>
              </w:tabs>
              <w:spacing w:after="80" w:line="360" w:lineRule="exact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جيم</w:t>
            </w:r>
            <w:r>
              <w:rPr>
                <w:rFonts w:cs="Traditional Arabic"/>
                <w:sz w:val="20"/>
                <w:rtl/>
              </w:rPr>
              <w:t xml:space="preserve"> </w:t>
            </w:r>
            <w:r w:rsidRPr="00587577">
              <w:rPr>
                <w:rFonts w:cs="Traditional Arabic"/>
                <w:sz w:val="20"/>
                <w:rtl/>
              </w:rPr>
              <w:t>-</w:t>
            </w:r>
            <w:r w:rsidRPr="00272DC9">
              <w:rPr>
                <w:b/>
                <w:bCs/>
                <w:rtl/>
              </w:rPr>
              <w:tab/>
            </w:r>
            <w:r w:rsidRPr="00587577">
              <w:rPr>
                <w:rFonts w:cs="Traditional Arabic"/>
                <w:sz w:val="20"/>
                <w:rtl/>
              </w:rPr>
              <w:t>برنامج شراكة اتفاقية بازل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1</w:t>
            </w:r>
            <w:r>
              <w:rPr>
                <w:rFonts w:cs="Traditional Arabic"/>
                <w:sz w:val="20"/>
                <w:rtl/>
              </w:rPr>
              <w:t>-</w:t>
            </w:r>
            <w:r w:rsidRPr="00587577">
              <w:rPr>
                <w:rFonts w:cs="Traditional Arabic"/>
                <w:sz w:val="20"/>
                <w:rtl/>
              </w:rPr>
              <w:t xml:space="preserve"> توفير التوجيه بشأن العمل الذي تضطلع به الأمانة والمراكز الإقليمية لاتفاقية بازل من أجل تنفيذ برنامج شراكة اتفاقية بازل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ا ب-/10/19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متوسطة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b/>
                <w:bCs/>
                <w:w w:val="95"/>
                <w:sz w:val="20"/>
                <w:rtl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2</w:t>
            </w:r>
            <w:r>
              <w:rPr>
                <w:rFonts w:cs="Traditional Arabic"/>
                <w:sz w:val="20"/>
                <w:rtl/>
              </w:rPr>
              <w:t>-</w:t>
            </w:r>
            <w:r w:rsidRPr="00587577">
              <w:rPr>
                <w:rFonts w:cs="Traditional Arabic"/>
                <w:sz w:val="20"/>
                <w:rtl/>
              </w:rPr>
              <w:t xml:space="preserve"> توفير توجيه لأنشطة الشراكة من أجل العمل بشأن المعدات الحاسوبية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ا ب-10/20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عالية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tabs>
                <w:tab w:val="left" w:pos="677"/>
              </w:tabs>
              <w:spacing w:after="80" w:line="360" w:lineRule="exact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دال</w:t>
            </w:r>
            <w:r>
              <w:rPr>
                <w:rFonts w:cs="Traditional Arabic"/>
                <w:sz w:val="20"/>
                <w:rtl/>
              </w:rPr>
              <w:t xml:space="preserve"> -</w:t>
            </w:r>
            <w:r w:rsidRPr="00EA66E1">
              <w:rPr>
                <w:rFonts w:cs="Traditional Arabic"/>
                <w:sz w:val="20"/>
                <w:rtl/>
              </w:rPr>
              <w:tab/>
            </w:r>
            <w:r w:rsidRPr="00587577">
              <w:rPr>
                <w:rFonts w:cs="Traditional Arabic"/>
                <w:sz w:val="20"/>
                <w:rtl/>
              </w:rPr>
              <w:t xml:space="preserve">دائرة بازل </w:t>
            </w:r>
            <w:r w:rsidRPr="00587577">
              <w:rPr>
                <w:rFonts w:cs="Traditional Arabic"/>
                <w:sz w:val="20"/>
                <w:rtl/>
              </w:rPr>
              <w:lastRenderedPageBreak/>
              <w:t xml:space="preserve">لحلول </w:t>
            </w:r>
            <w:r w:rsidRPr="00EA66E1">
              <w:rPr>
                <w:rFonts w:cs="Traditional Arabic"/>
                <w:sz w:val="20"/>
                <w:rtl/>
              </w:rPr>
              <w:t>مشاكل</w:t>
            </w:r>
            <w:r w:rsidRPr="00587577">
              <w:rPr>
                <w:rFonts w:cs="Traditional Arabic"/>
                <w:sz w:val="20"/>
                <w:rtl/>
              </w:rPr>
              <w:t xml:space="preserve"> النفايات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lastRenderedPageBreak/>
              <w:t xml:space="preserve">توفير توجيه للأمانة بشأن مواصلة تطوير </w:t>
            </w:r>
            <w:r w:rsidRPr="00587577">
              <w:rPr>
                <w:rFonts w:cs="Traditional Arabic"/>
                <w:sz w:val="20"/>
                <w:rtl/>
              </w:rPr>
              <w:lastRenderedPageBreak/>
              <w:t xml:space="preserve">وتنفيذ دائرة بازل لحلول مشاكل النفايات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lastRenderedPageBreak/>
              <w:t>ا ب-10/26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متوسطة</w:t>
            </w:r>
          </w:p>
        </w:tc>
      </w:tr>
    </w:tbl>
    <w:p w:rsidR="00EC4D69" w:rsidRDefault="00EC4D69" w:rsidP="00EC4D69">
      <w:pPr>
        <w:rPr>
          <w:rtl/>
        </w:rPr>
      </w:pPr>
    </w:p>
    <w:tbl>
      <w:tblPr>
        <w:bidiVisual/>
        <w:tblW w:w="7924" w:type="dxa"/>
        <w:tblInd w:w="1554" w:type="dxa"/>
        <w:tblLook w:val="01E0"/>
      </w:tblPr>
      <w:tblGrid>
        <w:gridCol w:w="1903"/>
        <w:gridCol w:w="3460"/>
        <w:gridCol w:w="1557"/>
        <w:gridCol w:w="1004"/>
      </w:tblGrid>
      <w:tr w:rsidR="00EC4D69" w:rsidRPr="00BB23EF" w:rsidTr="000408C1">
        <w:trPr>
          <w:tblHeader/>
        </w:trPr>
        <w:tc>
          <w:tcPr>
            <w:tcW w:w="7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272DC9" w:rsidRDefault="00EC4D69" w:rsidP="000408C1">
            <w:pPr>
              <w:tabs>
                <w:tab w:val="left" w:pos="850"/>
              </w:tabs>
              <w:spacing w:after="80" w:line="360" w:lineRule="exact"/>
              <w:jc w:val="both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  <w:r w:rsidRPr="00272DC9">
              <w:rPr>
                <w:rFonts w:cs="Traditional Arabic"/>
                <w:b/>
                <w:bCs/>
                <w:i/>
                <w:iCs/>
                <w:sz w:val="20"/>
                <w:rtl/>
              </w:rPr>
              <w:t>ثانيا</w:t>
            </w:r>
            <w:r>
              <w:rPr>
                <w:rFonts w:cs="Traditional Arabic"/>
                <w:b/>
                <w:bCs/>
                <w:i/>
                <w:iCs/>
                <w:sz w:val="20"/>
                <w:rtl/>
              </w:rPr>
              <w:t xml:space="preserve">ً </w:t>
            </w:r>
            <w:r w:rsidRPr="00272DC9">
              <w:rPr>
                <w:rFonts w:cs="Traditional Arabic"/>
                <w:b/>
                <w:bCs/>
                <w:i/>
                <w:iCs/>
                <w:sz w:val="20"/>
                <w:rtl/>
              </w:rPr>
              <w:t>-</w:t>
            </w:r>
            <w:r>
              <w:rPr>
                <w:rtl/>
              </w:rPr>
              <w:tab/>
            </w:r>
            <w:r w:rsidRPr="00272DC9">
              <w:rPr>
                <w:rFonts w:cs="Traditional Arabic"/>
                <w:b/>
                <w:bCs/>
                <w:i/>
                <w:iCs/>
                <w:sz w:val="20"/>
                <w:rtl/>
              </w:rPr>
              <w:t xml:space="preserve">المسائل العلمية </w:t>
            </w:r>
            <w:r>
              <w:rPr>
                <w:rFonts w:cs="Traditional Arabic"/>
                <w:b/>
                <w:bCs/>
                <w:i/>
                <w:iCs/>
                <w:sz w:val="20"/>
                <w:rtl/>
              </w:rPr>
              <w:t>والتقنية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w w:val="95"/>
                <w:sz w:val="20"/>
                <w:rtl/>
              </w:rPr>
            </w:pPr>
            <w:r w:rsidRPr="00587577">
              <w:rPr>
                <w:rFonts w:cs="Traditional Arabic"/>
                <w:b/>
                <w:bCs/>
                <w:w w:val="95"/>
                <w:sz w:val="20"/>
                <w:rtl/>
              </w:rPr>
              <w:t>الموضوعات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w w:val="95"/>
                <w:sz w:val="20"/>
                <w:rtl/>
              </w:rPr>
            </w:pPr>
            <w:r w:rsidRPr="00587577">
              <w:rPr>
                <w:rFonts w:cs="Traditional Arabic"/>
                <w:b/>
                <w:bCs/>
                <w:w w:val="95"/>
                <w:sz w:val="20"/>
                <w:rtl/>
              </w:rPr>
              <w:t>الأنشطة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w w:val="95"/>
                <w:sz w:val="20"/>
                <w:rtl/>
              </w:rPr>
            </w:pPr>
            <w:r w:rsidRPr="00587577">
              <w:rPr>
                <w:rFonts w:cs="Traditional Arabic"/>
                <w:b/>
                <w:bCs/>
                <w:w w:val="95"/>
                <w:sz w:val="20"/>
                <w:rtl/>
              </w:rPr>
              <w:t>مقررات مؤتمر الأطراف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w w:val="95"/>
                <w:sz w:val="20"/>
                <w:rtl/>
              </w:rPr>
            </w:pPr>
            <w:r w:rsidRPr="00587577">
              <w:rPr>
                <w:rFonts w:cs="Traditional Arabic"/>
                <w:b/>
                <w:bCs/>
                <w:w w:val="95"/>
                <w:sz w:val="20"/>
                <w:rtl/>
              </w:rPr>
              <w:t>الأولوية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tabs>
                <w:tab w:val="left" w:pos="677"/>
              </w:tabs>
              <w:spacing w:after="80" w:line="360" w:lineRule="exact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ألف</w:t>
            </w:r>
            <w:r>
              <w:rPr>
                <w:rFonts w:cs="Traditional Arabic"/>
                <w:sz w:val="20"/>
                <w:rtl/>
              </w:rPr>
              <w:t xml:space="preserve"> </w:t>
            </w:r>
            <w:r w:rsidRPr="00587577">
              <w:rPr>
                <w:rFonts w:cs="Traditional Arabic"/>
                <w:sz w:val="20"/>
                <w:rtl/>
              </w:rPr>
              <w:t>-</w:t>
            </w:r>
            <w:r w:rsidRPr="00272DC9">
              <w:rPr>
                <w:b/>
                <w:bCs/>
                <w:rtl/>
              </w:rPr>
              <w:tab/>
            </w:r>
            <w:r w:rsidRPr="00587577">
              <w:rPr>
                <w:rFonts w:cs="Traditional Arabic"/>
                <w:sz w:val="20"/>
                <w:rtl/>
              </w:rPr>
              <w:t>متابعة المبادرة القطرية الإندويسية السويسرية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1- توفير توجيه إلى فريق الخبراء التقنيين في وضع إطار لتطوير الإدارة السليمة بيئيا</w:t>
            </w:r>
            <w:r>
              <w:rPr>
                <w:rFonts w:cs="Traditional Arabic"/>
                <w:sz w:val="20"/>
                <w:rtl/>
              </w:rPr>
              <w:t>ً</w:t>
            </w:r>
            <w:r w:rsidRPr="00587577">
              <w:rPr>
                <w:rFonts w:cs="Traditional Arabic"/>
                <w:sz w:val="20"/>
                <w:rtl/>
              </w:rPr>
              <w:t xml:space="preserve"> للنفايات الخطرة والنفايات الأخرى</w:t>
            </w:r>
            <w:r>
              <w:rPr>
                <w:rFonts w:cs="Traditional Arabic"/>
                <w:sz w:val="20"/>
                <w:rtl/>
              </w:rPr>
              <w:t>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ا ب-10/3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عالية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tabs>
                <w:tab w:val="left" w:pos="677"/>
              </w:tabs>
              <w:spacing w:after="80" w:line="360" w:lineRule="exact"/>
              <w:rPr>
                <w:rFonts w:cs="Traditional Arabic"/>
                <w:sz w:val="20"/>
                <w:rtl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2- إعداد مشروع توجيهات لتزويد السلطات الوطنية والمراكز الإقليمية</w:t>
            </w:r>
            <w:r>
              <w:rPr>
                <w:rFonts w:cs="Traditional Arabic"/>
                <w:sz w:val="20"/>
                <w:rtl/>
              </w:rPr>
              <w:t xml:space="preserve"> و</w:t>
            </w:r>
            <w:r w:rsidRPr="00587577">
              <w:rPr>
                <w:rFonts w:cs="Traditional Arabic"/>
                <w:sz w:val="20"/>
                <w:rtl/>
              </w:rPr>
              <w:t>أصحاب المصلحة الآخرين بمشورة متسقة عن تفسير المصطلحات المعنية، مع مراعاة تقرير الأمانة واستناداً إلى التوجيهات القائمة وأمثلة الممارسات الجيدة على النحو الوارد بالتفصيل في الفقرة 4 من الفرع جيم من المقرر ا ب-10/3.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عالية</w:t>
            </w:r>
          </w:p>
        </w:tc>
      </w:tr>
      <w:tr w:rsidR="00EC4D69" w:rsidRPr="00BB23EF" w:rsidTr="000408C1">
        <w:tc>
          <w:tcPr>
            <w:tcW w:w="1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tabs>
                <w:tab w:val="left" w:pos="677"/>
              </w:tabs>
              <w:spacing w:after="80" w:line="360" w:lineRule="exact"/>
              <w:rPr>
                <w:rFonts w:cs="Traditional Arabic"/>
                <w:sz w:val="20"/>
                <w:rtl/>
              </w:rPr>
            </w:pPr>
          </w:p>
        </w:tc>
        <w:tc>
          <w:tcPr>
            <w:tcW w:w="3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3- تزويد الأمانة بتوجيهات لمساعدتها في إعداد دراسة لتعيين خيارات التعامل مع المشكلة الناشئة عن السلع المستعملة والمنتهية الصلاحية، ويمكن أن تشمل هذه الدراسة التزامات الإعادة وت</w:t>
            </w:r>
            <w:r>
              <w:rPr>
                <w:rFonts w:cs="Traditional Arabic"/>
                <w:sz w:val="20"/>
                <w:rtl/>
              </w:rPr>
              <w:t>وضيح مفهوم ’’الهبات الخيرية‘‘.</w:t>
            </w:r>
          </w:p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>
              <w:rPr>
                <w:rFonts w:cs="Traditional Arabic"/>
                <w:sz w:val="20"/>
                <w:rtl/>
              </w:rPr>
              <w:t>(</w:t>
            </w:r>
            <w:r w:rsidRPr="00587577">
              <w:rPr>
                <w:rFonts w:cs="Traditional Arabic"/>
                <w:sz w:val="20"/>
                <w:rtl/>
              </w:rPr>
              <w:t>ملحوظة: النشاطان 2 و3 نشاطان شاملان، وعلى العموم ورد ذكرهما أيضا</w:t>
            </w:r>
            <w:r>
              <w:rPr>
                <w:rFonts w:cs="Traditional Arabic"/>
                <w:sz w:val="20"/>
                <w:rtl/>
              </w:rPr>
              <w:t>ً</w:t>
            </w:r>
            <w:r w:rsidRPr="00587577">
              <w:rPr>
                <w:rFonts w:cs="Traditional Arabic"/>
                <w:sz w:val="20"/>
                <w:rtl/>
              </w:rPr>
              <w:t xml:space="preserve"> في الفرع ثالثا</w:t>
            </w:r>
            <w:r>
              <w:rPr>
                <w:rFonts w:cs="Traditional Arabic"/>
                <w:sz w:val="20"/>
                <w:rtl/>
              </w:rPr>
              <w:t>ً</w:t>
            </w:r>
            <w:r w:rsidRPr="00587577">
              <w:rPr>
                <w:rFonts w:cs="Traditional Arabic"/>
                <w:sz w:val="20"/>
                <w:rtl/>
              </w:rPr>
              <w:t xml:space="preserve"> من برنامج العمل.)</w:t>
            </w: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</w:p>
        </w:tc>
        <w:tc>
          <w:tcPr>
            <w:tcW w:w="10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عالية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tabs>
                <w:tab w:val="left" w:pos="677"/>
              </w:tabs>
              <w:spacing w:after="80" w:line="360" w:lineRule="exact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باء</w:t>
            </w:r>
            <w:r>
              <w:rPr>
                <w:rFonts w:cs="Traditional Arabic"/>
                <w:sz w:val="20"/>
                <w:rtl/>
              </w:rPr>
              <w:t xml:space="preserve"> </w:t>
            </w:r>
            <w:r w:rsidRPr="00587577">
              <w:rPr>
                <w:rFonts w:cs="Traditional Arabic"/>
                <w:sz w:val="20"/>
                <w:rtl/>
              </w:rPr>
              <w:t>-</w:t>
            </w:r>
            <w:r w:rsidRPr="00272DC9">
              <w:rPr>
                <w:b/>
                <w:bCs/>
                <w:rtl/>
              </w:rPr>
              <w:tab/>
            </w:r>
            <w:r w:rsidRPr="00587577">
              <w:rPr>
                <w:rFonts w:cs="Traditional Arabic"/>
                <w:sz w:val="20"/>
                <w:rtl/>
              </w:rPr>
              <w:t>المبادئ التوجيهية التقنية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1- وضع مبادئ توجيهية تقنية لنقل النفايات الإلكترونية عبر الحدود، خاصة ما يتعلق بالتمييز بين النفايات وغير النفايات.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ا ب-10/5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عالية</w:t>
            </w:r>
          </w:p>
        </w:tc>
      </w:tr>
      <w:tr w:rsidR="00EC4D69" w:rsidRPr="00BB23EF" w:rsidTr="000408C1"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tabs>
                <w:tab w:val="left" w:pos="677"/>
              </w:tabs>
              <w:spacing w:after="80" w:line="360" w:lineRule="exact"/>
              <w:rPr>
                <w:rFonts w:cs="Traditional Arabic"/>
                <w:sz w:val="20"/>
                <w:rtl/>
              </w:rPr>
            </w:pPr>
          </w:p>
        </w:tc>
        <w:tc>
          <w:tcPr>
            <w:tcW w:w="3460" w:type="dxa"/>
            <w:tcBorders>
              <w:left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2(أ) تحديث المبادئ التوجيهية التقنية العامة بشأن الإدارة السليمة بيئياً للملوثات العضوية الثابتة، وإعداد أو تحديث مبادئ توجيهية تقنية</w:t>
            </w:r>
            <w:r>
              <w:rPr>
                <w:rFonts w:cs="Traditional Arabic"/>
                <w:sz w:val="20"/>
                <w:rtl/>
              </w:rPr>
              <w:t xml:space="preserve"> </w:t>
            </w:r>
            <w:r w:rsidRPr="00587577">
              <w:rPr>
                <w:rFonts w:cs="Traditional Arabic"/>
                <w:sz w:val="20"/>
                <w:rtl/>
              </w:rPr>
              <w:t>محددة عن عشرة ملوثات عضوية ثابتة</w:t>
            </w:r>
            <w:r>
              <w:rPr>
                <w:rFonts w:cs="Traditional Arabic"/>
                <w:sz w:val="20"/>
                <w:rtl/>
              </w:rPr>
              <w:t xml:space="preserve"> </w:t>
            </w:r>
            <w:r w:rsidRPr="00587577">
              <w:rPr>
                <w:rFonts w:cs="Traditional Arabic"/>
                <w:sz w:val="20"/>
                <w:rtl/>
              </w:rPr>
              <w:t>جديدة.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ا ب-10/9</w:t>
            </w: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عالية</w:t>
            </w:r>
          </w:p>
        </w:tc>
      </w:tr>
      <w:tr w:rsidR="00EC4D69" w:rsidRPr="00BB23EF" w:rsidTr="000408C1"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tabs>
                <w:tab w:val="left" w:pos="677"/>
              </w:tabs>
              <w:spacing w:after="80" w:line="360" w:lineRule="exact"/>
              <w:rPr>
                <w:rFonts w:cs="Traditional Arabic"/>
                <w:sz w:val="20"/>
                <w:rtl/>
              </w:rPr>
            </w:pPr>
          </w:p>
        </w:tc>
        <w:tc>
          <w:tcPr>
            <w:tcW w:w="3460" w:type="dxa"/>
            <w:tcBorders>
              <w:left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2(ب) تحديد مستويات التدمير والتحويل الدائم في هذه المواد الكيميائية عند التخلص منها اللازمة لكفالة عدم ظهور خصائص الملوثات العضوية الثابتة.</w:t>
            </w: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</w:p>
        </w:tc>
        <w:tc>
          <w:tcPr>
            <w:tcW w:w="1004" w:type="dxa"/>
            <w:tcBorders>
              <w:left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عالية</w:t>
            </w:r>
          </w:p>
        </w:tc>
      </w:tr>
      <w:tr w:rsidR="00EC4D69" w:rsidRPr="00BB23EF" w:rsidTr="000408C1">
        <w:tc>
          <w:tcPr>
            <w:tcW w:w="1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tabs>
                <w:tab w:val="left" w:pos="677"/>
              </w:tabs>
              <w:spacing w:after="80" w:line="360" w:lineRule="exact"/>
              <w:rPr>
                <w:rFonts w:cs="Traditional Arabic"/>
                <w:sz w:val="20"/>
                <w:rtl/>
              </w:rPr>
            </w:pPr>
          </w:p>
        </w:tc>
        <w:tc>
          <w:tcPr>
            <w:tcW w:w="3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2(ج) تحديد مناهج التخلص التي تعتبر مناهج تخلص سليم بيئياً، وتحديد مستويات تركيز المواد الكيميائية، حسبما هو مناسب،</w:t>
            </w:r>
            <w:r>
              <w:rPr>
                <w:rFonts w:cs="Traditional Arabic"/>
                <w:sz w:val="20"/>
                <w:rtl/>
              </w:rPr>
              <w:t xml:space="preserve"> </w:t>
            </w:r>
            <w:r w:rsidRPr="00587577">
              <w:rPr>
                <w:rFonts w:cs="Traditional Arabic"/>
                <w:sz w:val="20"/>
                <w:rtl/>
              </w:rPr>
              <w:t>لتحديد محتوى منخفض بالنسبة لها</w:t>
            </w:r>
            <w:r>
              <w:rPr>
                <w:rFonts w:cs="Traditional Arabic"/>
                <w:sz w:val="20"/>
                <w:rtl/>
              </w:rPr>
              <w:t xml:space="preserve"> </w:t>
            </w:r>
            <w:r w:rsidRPr="00587577">
              <w:rPr>
                <w:rFonts w:cs="Traditional Arabic"/>
                <w:sz w:val="20"/>
                <w:rtl/>
              </w:rPr>
              <w:t>من الملوثات العضوية الثابتة</w:t>
            </w:r>
            <w:r>
              <w:rPr>
                <w:rFonts w:cs="Traditional Arabic"/>
                <w:sz w:val="20"/>
                <w:rtl/>
              </w:rPr>
              <w:t xml:space="preserve"> </w:t>
            </w:r>
            <w:r w:rsidRPr="00587577">
              <w:rPr>
                <w:rFonts w:cs="Traditional Arabic"/>
                <w:sz w:val="20"/>
                <w:rtl/>
              </w:rPr>
              <w:t>على النحو المشار إليه في الفقرة 1</w:t>
            </w:r>
            <w:r>
              <w:rPr>
                <w:rFonts w:cs="Traditional Arabic"/>
                <w:sz w:val="20"/>
                <w:rtl/>
              </w:rPr>
              <w:t xml:space="preserve"> </w:t>
            </w:r>
            <w:r w:rsidRPr="00587577">
              <w:rPr>
                <w:rFonts w:cs="Traditional Arabic"/>
                <w:sz w:val="20"/>
                <w:rtl/>
              </w:rPr>
              <w:t>(د)</w:t>
            </w:r>
            <w:r>
              <w:rPr>
                <w:rFonts w:cs="Traditional Arabic"/>
                <w:sz w:val="20"/>
                <w:rtl/>
              </w:rPr>
              <w:t xml:space="preserve"> ’</w:t>
            </w:r>
            <w:r w:rsidRPr="00587577">
              <w:rPr>
                <w:rFonts w:cs="Traditional Arabic"/>
                <w:sz w:val="20"/>
                <w:rtl/>
              </w:rPr>
              <w:t>2‘ من المادة 6 من اتفاقية ستكهولم</w:t>
            </w:r>
            <w:r>
              <w:rPr>
                <w:rFonts w:cs="Traditional Arabic"/>
                <w:sz w:val="20"/>
                <w:rtl/>
              </w:rPr>
              <w:t>.</w:t>
            </w: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</w:p>
        </w:tc>
        <w:tc>
          <w:tcPr>
            <w:tcW w:w="10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عالية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tabs>
                <w:tab w:val="left" w:pos="677"/>
              </w:tabs>
              <w:spacing w:after="80" w:line="360" w:lineRule="exact"/>
              <w:rPr>
                <w:rFonts w:cs="Traditional Arabic"/>
                <w:sz w:val="20"/>
                <w:rtl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 xml:space="preserve">2(د) النظر في تعديل المدخلات في المرفق الثامن بالنسبة للفيورانات الثنائية البنزين المتعددة الكلور والديوكسينات الثنائية البنزين المتعددة الكلور (المدخل </w:t>
            </w:r>
            <w:r w:rsidRPr="00587577">
              <w:rPr>
                <w:rFonts w:cs="Traditional Arabic"/>
                <w:sz w:val="20"/>
              </w:rPr>
              <w:t>A4110</w:t>
            </w:r>
            <w:r w:rsidRPr="00587577">
              <w:rPr>
                <w:rFonts w:cs="Traditional Arabic"/>
                <w:sz w:val="20"/>
                <w:rtl/>
              </w:rPr>
              <w:t>) والـ دي. دي. تي والملوثات العضوية الثابتة الأخرى ذات الصلة لإدراج مستويات تركيز لهذه المواد الكيميائية، وذلك بعد وضع إطار مناسب لتحديد ا</w:t>
            </w:r>
            <w:r>
              <w:rPr>
                <w:rFonts w:cs="Traditional Arabic"/>
                <w:sz w:val="20"/>
                <w:rtl/>
              </w:rPr>
              <w:t>لمستوى الأدنى الملائم للتركيزات.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عالية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tabs>
                <w:tab w:val="left" w:pos="677"/>
              </w:tabs>
              <w:spacing w:after="80" w:line="360" w:lineRule="exact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جيم</w:t>
            </w:r>
            <w:r>
              <w:rPr>
                <w:rFonts w:cs="Traditional Arabic"/>
                <w:sz w:val="20"/>
                <w:rtl/>
              </w:rPr>
              <w:t xml:space="preserve"> </w:t>
            </w:r>
            <w:r w:rsidRPr="00587577">
              <w:rPr>
                <w:rFonts w:cs="Traditional Arabic"/>
                <w:sz w:val="20"/>
                <w:rtl/>
              </w:rPr>
              <w:t>-</w:t>
            </w:r>
            <w:r w:rsidRPr="00272DC9">
              <w:rPr>
                <w:b/>
                <w:bCs/>
                <w:rtl/>
              </w:rPr>
              <w:tab/>
            </w:r>
            <w:r w:rsidRPr="00587577">
              <w:rPr>
                <w:rFonts w:cs="Traditional Arabic"/>
                <w:sz w:val="20"/>
                <w:rtl/>
              </w:rPr>
              <w:t>تصنيف النفايات ووصف خصائصها الخطرة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1- بحث واستعراض أي تطبيقات لإجراء تعديلات أو إدخال تصويبات على قائمة النفايات المدرجة في المرفقين الثامن والتاسع</w:t>
            </w:r>
            <w:r>
              <w:rPr>
                <w:rFonts w:cs="Traditional Arabic"/>
                <w:sz w:val="20"/>
                <w:rtl/>
              </w:rPr>
              <w:t>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8/15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متوسطة</w:t>
            </w:r>
          </w:p>
        </w:tc>
      </w:tr>
      <w:tr w:rsidR="00EC4D69" w:rsidRPr="00BB23EF" w:rsidTr="000408C1"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2- النظر في تعديل المدخلات المتصلة بالملوثات العضوية</w:t>
            </w:r>
            <w:r>
              <w:rPr>
                <w:rFonts w:cs="Traditional Arabic"/>
                <w:sz w:val="20"/>
                <w:rtl/>
              </w:rPr>
              <w:t xml:space="preserve"> </w:t>
            </w:r>
            <w:r w:rsidRPr="00587577">
              <w:rPr>
                <w:rFonts w:cs="Traditional Arabic"/>
                <w:sz w:val="20"/>
                <w:rtl/>
              </w:rPr>
              <w:t>الثابتة</w:t>
            </w:r>
            <w:r>
              <w:rPr>
                <w:rFonts w:cs="Traditional Arabic"/>
                <w:sz w:val="20"/>
                <w:rtl/>
              </w:rPr>
              <w:t>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ا ب-10/9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متوسطة</w:t>
            </w:r>
          </w:p>
        </w:tc>
      </w:tr>
      <w:tr w:rsidR="00EC4D69" w:rsidRPr="00BB23EF" w:rsidTr="000408C1">
        <w:tc>
          <w:tcPr>
            <w:tcW w:w="1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3- توفير توجيه بشأن تحديد النفايات في</w:t>
            </w:r>
            <w:r>
              <w:rPr>
                <w:rFonts w:cs="Traditional Arabic"/>
                <w:sz w:val="20"/>
                <w:rtl/>
              </w:rPr>
              <w:t xml:space="preserve"> </w:t>
            </w:r>
            <w:r w:rsidRPr="00587577">
              <w:rPr>
                <w:rFonts w:cs="Traditional Arabic"/>
                <w:sz w:val="20"/>
                <w:rtl/>
              </w:rPr>
              <w:t>النظام الموحد العالمي لتصنيف وتوسيم المواد الكيميائية التابع لمنظمة الجمارك العالمية وما يتصل بذلك من مسائل</w:t>
            </w:r>
            <w:r>
              <w:rPr>
                <w:rFonts w:cs="Traditional Arabic"/>
                <w:sz w:val="20"/>
                <w:rtl/>
              </w:rPr>
              <w:t>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ا ب-10/10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متوسطة</w:t>
            </w:r>
          </w:p>
        </w:tc>
      </w:tr>
    </w:tbl>
    <w:p w:rsidR="00EC4D69" w:rsidRDefault="00EC4D69" w:rsidP="00EC4D69"/>
    <w:tbl>
      <w:tblPr>
        <w:bidiVisual/>
        <w:tblW w:w="7924" w:type="dxa"/>
        <w:tblInd w:w="1554" w:type="dxa"/>
        <w:tblLook w:val="01E0"/>
      </w:tblPr>
      <w:tblGrid>
        <w:gridCol w:w="1903"/>
        <w:gridCol w:w="3460"/>
        <w:gridCol w:w="1557"/>
        <w:gridCol w:w="1004"/>
      </w:tblGrid>
      <w:tr w:rsidR="00EC4D69" w:rsidRPr="00BB23EF" w:rsidTr="000408C1">
        <w:tc>
          <w:tcPr>
            <w:tcW w:w="7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272DC9" w:rsidRDefault="00EC4D69" w:rsidP="000408C1">
            <w:pPr>
              <w:tabs>
                <w:tab w:val="left" w:pos="850"/>
              </w:tabs>
              <w:spacing w:line="340" w:lineRule="exact"/>
              <w:jc w:val="both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  <w:r>
              <w:rPr>
                <w:rtl/>
              </w:rPr>
              <w:br w:type="page"/>
            </w:r>
            <w:r w:rsidRPr="00272DC9">
              <w:rPr>
                <w:rFonts w:cs="Traditional Arabic"/>
                <w:b/>
                <w:bCs/>
                <w:i/>
                <w:iCs/>
                <w:sz w:val="20"/>
                <w:rtl/>
              </w:rPr>
              <w:t>ثالثا</w:t>
            </w:r>
            <w:r>
              <w:rPr>
                <w:rFonts w:cs="Traditional Arabic"/>
                <w:b/>
                <w:bCs/>
                <w:i/>
                <w:iCs/>
                <w:sz w:val="20"/>
                <w:rtl/>
              </w:rPr>
              <w:t>ً</w:t>
            </w:r>
            <w:r w:rsidRPr="00272DC9">
              <w:rPr>
                <w:rFonts w:cs="Traditional Arabic"/>
                <w:b/>
                <w:bCs/>
                <w:i/>
                <w:iCs/>
                <w:sz w:val="20"/>
                <w:rtl/>
              </w:rPr>
              <w:t xml:space="preserve"> -</w:t>
            </w:r>
            <w:r>
              <w:rPr>
                <w:rtl/>
              </w:rPr>
              <w:tab/>
            </w:r>
            <w:r w:rsidRPr="00272DC9">
              <w:rPr>
                <w:rFonts w:cs="Traditional Arabic"/>
                <w:b/>
                <w:bCs/>
                <w:i/>
                <w:iCs/>
                <w:sz w:val="20"/>
                <w:rtl/>
              </w:rPr>
              <w:t>المسائل القانونية وشؤون الإدارة والإنفاذ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7A30FA" w:rsidRDefault="00EC4D69" w:rsidP="000408C1">
            <w:pPr>
              <w:spacing w:line="340" w:lineRule="exact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7A30FA">
              <w:rPr>
                <w:rFonts w:cs="Traditional Arabic"/>
                <w:b/>
                <w:bCs/>
                <w:sz w:val="20"/>
                <w:rtl/>
              </w:rPr>
              <w:t>الموضوعات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7A30FA" w:rsidRDefault="00EC4D69" w:rsidP="000408C1">
            <w:pPr>
              <w:spacing w:line="340" w:lineRule="exact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7A30FA">
              <w:rPr>
                <w:rFonts w:cs="Traditional Arabic"/>
                <w:b/>
                <w:bCs/>
                <w:sz w:val="20"/>
                <w:rtl/>
              </w:rPr>
              <w:t>الأنشطة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7A30FA" w:rsidRDefault="00EC4D69" w:rsidP="000408C1">
            <w:pPr>
              <w:spacing w:line="340" w:lineRule="exact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7A30FA">
              <w:rPr>
                <w:rFonts w:cs="Traditional Arabic"/>
                <w:b/>
                <w:bCs/>
                <w:sz w:val="20"/>
                <w:rtl/>
              </w:rPr>
              <w:t>مقررات مؤتمر الأطراف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7A30FA" w:rsidRDefault="00EC4D69" w:rsidP="000408C1">
            <w:pPr>
              <w:spacing w:line="340" w:lineRule="exact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7A30FA">
              <w:rPr>
                <w:rFonts w:cs="Traditional Arabic"/>
                <w:b/>
                <w:bCs/>
                <w:sz w:val="20"/>
                <w:rtl/>
              </w:rPr>
              <w:t>الأولوية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tabs>
                <w:tab w:val="left" w:pos="677"/>
              </w:tabs>
              <w:spacing w:line="340" w:lineRule="exact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lastRenderedPageBreak/>
              <w:t>ألف</w:t>
            </w:r>
            <w:r>
              <w:rPr>
                <w:rFonts w:cs="Traditional Arabic"/>
                <w:sz w:val="20"/>
                <w:rtl/>
              </w:rPr>
              <w:t xml:space="preserve"> -</w:t>
            </w:r>
            <w:r w:rsidRPr="00272DC9">
              <w:rPr>
                <w:b/>
                <w:bCs/>
                <w:rtl/>
              </w:rPr>
              <w:tab/>
            </w:r>
            <w:r w:rsidRPr="00587577">
              <w:rPr>
                <w:rFonts w:cs="Traditional Arabic"/>
                <w:sz w:val="20"/>
                <w:rtl/>
              </w:rPr>
              <w:t>متابعة المبادرة القطرية الإندونيسية السويسرية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line="34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1- إعداد مشروع توجيهات لتزويد السلطات الوطنية والمراكز الإقليمية</w:t>
            </w:r>
            <w:r>
              <w:rPr>
                <w:rFonts w:cs="Traditional Arabic"/>
                <w:sz w:val="20"/>
                <w:rtl/>
              </w:rPr>
              <w:t xml:space="preserve"> و</w:t>
            </w:r>
            <w:r w:rsidRPr="00587577">
              <w:rPr>
                <w:rFonts w:cs="Traditional Arabic"/>
                <w:sz w:val="20"/>
                <w:rtl/>
              </w:rPr>
              <w:t>أصحاب المصلحة الآخرين بمشورة متسقة عن تفسير المصطلحات المعنية، مع مراعاة تقرير الأمانة واستناداً إلى التوجيهات القائمة وأمثلة الممارسات الجيدة على النحو الوارد بالتفصيل في الفقرة 4 من الفرع جيم من المقرر ا ب-10/3.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line="34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ا ب-10/3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line="34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عالية</w:t>
            </w:r>
          </w:p>
        </w:tc>
      </w:tr>
      <w:tr w:rsidR="00EC4D69" w:rsidRPr="00BB23EF" w:rsidTr="000408C1">
        <w:tc>
          <w:tcPr>
            <w:tcW w:w="19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tabs>
                <w:tab w:val="left" w:pos="677"/>
              </w:tabs>
              <w:spacing w:line="340" w:lineRule="exact"/>
              <w:rPr>
                <w:rFonts w:cs="Traditional Arabic"/>
                <w:sz w:val="20"/>
                <w:rtl/>
              </w:rPr>
            </w:pPr>
          </w:p>
        </w:tc>
        <w:tc>
          <w:tcPr>
            <w:tcW w:w="34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line="34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2- تزويد الأمانة بتوجيهات في إعداد دراسة لتعيين خيارات التعامل مع المشكلة الناشئة عن السلع المستعملة والمنتهية الصلاحية، ويمكن أن تشمل هذه الدراسة التزامات الإعادة وتوضيح مفهوم ’’الهبات الخيرية‘‘؛</w:t>
            </w:r>
          </w:p>
          <w:p w:rsidR="00EC4D69" w:rsidRPr="00587577" w:rsidRDefault="00EC4D69" w:rsidP="000408C1">
            <w:pPr>
              <w:spacing w:line="34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(ملحوظة: النشاطان 1 و2 نشاطان شاملان، وعلى العموم ورد ذكرهما أيضا</w:t>
            </w:r>
            <w:r>
              <w:rPr>
                <w:rFonts w:cs="Traditional Arabic"/>
                <w:sz w:val="20"/>
                <w:rtl/>
              </w:rPr>
              <w:t>ً</w:t>
            </w:r>
            <w:r w:rsidRPr="00587577">
              <w:rPr>
                <w:rFonts w:cs="Traditional Arabic"/>
                <w:sz w:val="20"/>
                <w:rtl/>
              </w:rPr>
              <w:t xml:space="preserve"> في الفرع ثانيا</w:t>
            </w:r>
            <w:r>
              <w:rPr>
                <w:rFonts w:cs="Traditional Arabic"/>
                <w:sz w:val="20"/>
                <w:rtl/>
              </w:rPr>
              <w:t>ً</w:t>
            </w:r>
            <w:r w:rsidRPr="00587577">
              <w:rPr>
                <w:rFonts w:cs="Traditional Arabic"/>
                <w:sz w:val="20"/>
                <w:rtl/>
              </w:rPr>
              <w:t xml:space="preserve"> من برنامج العمل.)</w:t>
            </w:r>
          </w:p>
        </w:tc>
        <w:tc>
          <w:tcPr>
            <w:tcW w:w="1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line="340" w:lineRule="exact"/>
              <w:jc w:val="both"/>
              <w:rPr>
                <w:rFonts w:cs="Traditional Arabic"/>
                <w:sz w:val="20"/>
                <w:rtl/>
              </w:rPr>
            </w:pPr>
          </w:p>
        </w:tc>
        <w:tc>
          <w:tcPr>
            <w:tcW w:w="10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line="34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عالية</w:t>
            </w:r>
          </w:p>
        </w:tc>
      </w:tr>
      <w:tr w:rsidR="00EC4D69" w:rsidRPr="00BB23EF" w:rsidTr="000408C1">
        <w:tc>
          <w:tcPr>
            <w:tcW w:w="7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272DC9" w:rsidRDefault="00EC4D69" w:rsidP="000408C1">
            <w:pPr>
              <w:tabs>
                <w:tab w:val="left" w:pos="850"/>
              </w:tabs>
              <w:spacing w:after="80" w:line="360" w:lineRule="exact"/>
              <w:jc w:val="both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  <w:r w:rsidRPr="00272DC9">
              <w:rPr>
                <w:rFonts w:cs="Traditional Arabic"/>
                <w:b/>
                <w:bCs/>
                <w:i/>
                <w:iCs/>
                <w:sz w:val="20"/>
                <w:rtl/>
              </w:rPr>
              <w:t>رابعا</w:t>
            </w:r>
            <w:r>
              <w:rPr>
                <w:rFonts w:cs="Traditional Arabic"/>
                <w:b/>
                <w:bCs/>
                <w:i/>
                <w:iCs/>
                <w:sz w:val="20"/>
                <w:rtl/>
              </w:rPr>
              <w:t>ً</w:t>
            </w:r>
            <w:r w:rsidRPr="00272DC9">
              <w:rPr>
                <w:rFonts w:cs="Traditional Arabic"/>
                <w:b/>
                <w:bCs/>
                <w:i/>
                <w:iCs/>
                <w:sz w:val="20"/>
                <w:rtl/>
              </w:rPr>
              <w:t xml:space="preserve"> -</w:t>
            </w:r>
            <w:r>
              <w:rPr>
                <w:rtl/>
              </w:rPr>
              <w:tab/>
            </w:r>
            <w:r w:rsidRPr="00272DC9">
              <w:rPr>
                <w:rFonts w:cs="Traditional Arabic"/>
                <w:b/>
                <w:bCs/>
                <w:i/>
                <w:iCs/>
                <w:sz w:val="20"/>
                <w:rtl/>
              </w:rPr>
              <w:t>تعبئة الموارد والتمويل المستدام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7A30FA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7A30FA">
              <w:rPr>
                <w:rFonts w:cs="Traditional Arabic"/>
                <w:b/>
                <w:bCs/>
                <w:sz w:val="20"/>
                <w:rtl/>
              </w:rPr>
              <w:t>الموضوعات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7A30FA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7A30FA">
              <w:rPr>
                <w:rFonts w:cs="Traditional Arabic"/>
                <w:b/>
                <w:bCs/>
                <w:sz w:val="20"/>
                <w:rtl/>
              </w:rPr>
              <w:t>الأنشطة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7A30FA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7A30FA">
              <w:rPr>
                <w:rFonts w:cs="Traditional Arabic"/>
                <w:b/>
                <w:bCs/>
                <w:sz w:val="20"/>
                <w:rtl/>
              </w:rPr>
              <w:t>مقررات مؤتمر الأطراف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7A30FA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7A30FA">
              <w:rPr>
                <w:rFonts w:cs="Traditional Arabic"/>
                <w:b/>
                <w:bCs/>
                <w:sz w:val="20"/>
                <w:rtl/>
              </w:rPr>
              <w:t>الأولوية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تعبئة الموارد والتمويل المستدام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تزويد الأمانة بالتوجيهات بشأن تعزيز تعبئة الموارد والمساهمات المالية</w:t>
            </w:r>
            <w:r>
              <w:rPr>
                <w:rFonts w:cs="Traditional Arabic"/>
                <w:sz w:val="20"/>
                <w:rtl/>
              </w:rPr>
              <w:t xml:space="preserve"> </w:t>
            </w:r>
            <w:r w:rsidRPr="00587577">
              <w:rPr>
                <w:rFonts w:cs="Traditional Arabic"/>
                <w:sz w:val="20"/>
                <w:rtl/>
              </w:rPr>
              <w:t>من أجل تنفيذ اتفاقية بازل.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8/34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عالية</w:t>
            </w:r>
          </w:p>
        </w:tc>
      </w:tr>
    </w:tbl>
    <w:p w:rsidR="00EC4D69" w:rsidRDefault="00EC4D69" w:rsidP="00EC4D69">
      <w:pPr>
        <w:spacing w:after="120" w:line="240" w:lineRule="exact"/>
      </w:pPr>
    </w:p>
    <w:tbl>
      <w:tblPr>
        <w:bidiVisual/>
        <w:tblW w:w="7924" w:type="dxa"/>
        <w:tblInd w:w="1554" w:type="dxa"/>
        <w:tblLook w:val="01E0"/>
      </w:tblPr>
      <w:tblGrid>
        <w:gridCol w:w="1903"/>
        <w:gridCol w:w="3460"/>
        <w:gridCol w:w="1557"/>
        <w:gridCol w:w="1004"/>
      </w:tblGrid>
      <w:tr w:rsidR="00EC4D69" w:rsidRPr="00BB23EF" w:rsidTr="000408C1">
        <w:tc>
          <w:tcPr>
            <w:tcW w:w="7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272DC9" w:rsidRDefault="00EC4D69" w:rsidP="000408C1">
            <w:pPr>
              <w:tabs>
                <w:tab w:val="left" w:pos="850"/>
              </w:tabs>
              <w:spacing w:after="80" w:line="360" w:lineRule="exact"/>
              <w:jc w:val="both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  <w:r w:rsidRPr="00272DC9">
              <w:rPr>
                <w:rFonts w:cs="Traditional Arabic"/>
                <w:b/>
                <w:bCs/>
                <w:i/>
                <w:iCs/>
                <w:sz w:val="20"/>
                <w:rtl/>
              </w:rPr>
              <w:t>خامسا</w:t>
            </w:r>
            <w:r>
              <w:rPr>
                <w:rFonts w:cs="Traditional Arabic"/>
                <w:b/>
                <w:bCs/>
                <w:i/>
                <w:iCs/>
                <w:sz w:val="20"/>
                <w:rtl/>
              </w:rPr>
              <w:t>ً</w:t>
            </w:r>
            <w:r w:rsidRPr="00272DC9">
              <w:rPr>
                <w:rFonts w:cs="Traditional Arabic"/>
                <w:b/>
                <w:bCs/>
                <w:i/>
                <w:iCs/>
                <w:sz w:val="20"/>
                <w:rtl/>
              </w:rPr>
              <w:t xml:space="preserve"> -</w:t>
            </w:r>
            <w:r>
              <w:rPr>
                <w:rtl/>
              </w:rPr>
              <w:tab/>
            </w:r>
            <w:r w:rsidRPr="00272DC9">
              <w:rPr>
                <w:rFonts w:cs="Traditional Arabic"/>
                <w:b/>
                <w:bCs/>
                <w:i/>
                <w:iCs/>
                <w:sz w:val="20"/>
                <w:rtl/>
              </w:rPr>
              <w:t>التعاون والتنسيق الدوليان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7A30FA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/>
                <w:b/>
                <w:bCs/>
                <w:sz w:val="20"/>
                <w:rtl/>
              </w:rPr>
              <w:t>الموضوعات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7A30FA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7A30FA">
              <w:rPr>
                <w:rFonts w:cs="Traditional Arabic"/>
                <w:b/>
                <w:bCs/>
                <w:sz w:val="20"/>
                <w:rtl/>
              </w:rPr>
              <w:t>الأنشطة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7A30FA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7A30FA">
              <w:rPr>
                <w:rFonts w:cs="Traditional Arabic"/>
                <w:b/>
                <w:bCs/>
                <w:sz w:val="20"/>
                <w:rtl/>
              </w:rPr>
              <w:t>مقررات مؤتمر الأطراف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7A30FA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7A30FA">
              <w:rPr>
                <w:rFonts w:cs="Traditional Arabic"/>
                <w:b/>
                <w:bCs/>
                <w:sz w:val="20"/>
                <w:rtl/>
              </w:rPr>
              <w:t>الأولوية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tabs>
                <w:tab w:val="left" w:pos="677"/>
              </w:tabs>
              <w:spacing w:after="80" w:line="360" w:lineRule="exact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ألف</w:t>
            </w:r>
            <w:r>
              <w:rPr>
                <w:rFonts w:cs="Traditional Arabic"/>
                <w:sz w:val="20"/>
                <w:rtl/>
              </w:rPr>
              <w:t xml:space="preserve"> </w:t>
            </w:r>
            <w:r w:rsidRPr="00587577">
              <w:rPr>
                <w:rFonts w:cs="Traditional Arabic"/>
                <w:sz w:val="20"/>
                <w:rtl/>
              </w:rPr>
              <w:t>-</w:t>
            </w:r>
            <w:r w:rsidRPr="00272DC9">
              <w:rPr>
                <w:b/>
                <w:bCs/>
                <w:rtl/>
              </w:rPr>
              <w:tab/>
            </w:r>
            <w:r w:rsidRPr="00587577">
              <w:rPr>
                <w:rFonts w:cs="Traditional Arabic"/>
                <w:sz w:val="20"/>
                <w:rtl/>
              </w:rPr>
              <w:t>تعزيز التعاون والتنسيق بين اتفاقيات بازل وروتردام وستكهولم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تزويد الأمانة بالتوجيهات</w:t>
            </w:r>
            <w:r>
              <w:rPr>
                <w:rFonts w:cs="Traditional Arabic"/>
                <w:sz w:val="20"/>
                <w:rtl/>
              </w:rPr>
              <w:t>،</w:t>
            </w:r>
            <w:r w:rsidRPr="00587577">
              <w:rPr>
                <w:rFonts w:cs="Traditional Arabic"/>
                <w:sz w:val="20"/>
                <w:rtl/>
              </w:rPr>
              <w:t xml:space="preserve"> حسب الاقتضاء، في مجال تنفيذ المقررات 9/10، وا ب 1-1/1، وا ب</w:t>
            </w:r>
            <w:r>
              <w:rPr>
                <w:rFonts w:cs="Traditional Arabic"/>
                <w:sz w:val="20"/>
                <w:rtl/>
              </w:rPr>
              <w:t xml:space="preserve"> </w:t>
            </w:r>
            <w:r w:rsidRPr="00587577">
              <w:rPr>
                <w:rFonts w:cs="Traditional Arabic"/>
                <w:sz w:val="20"/>
                <w:rtl/>
              </w:rPr>
              <w:t>-</w:t>
            </w:r>
            <w:r>
              <w:rPr>
                <w:rFonts w:cs="Traditional Arabic"/>
                <w:sz w:val="20"/>
                <w:rtl/>
              </w:rPr>
              <w:t xml:space="preserve"> </w:t>
            </w:r>
            <w:r w:rsidRPr="00587577">
              <w:rPr>
                <w:rFonts w:cs="Traditional Arabic"/>
                <w:sz w:val="20"/>
                <w:rtl/>
              </w:rPr>
              <w:t>10/29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 xml:space="preserve">9/10، </w:t>
            </w:r>
          </w:p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ا ب ا-1/1،</w:t>
            </w:r>
            <w:r>
              <w:rPr>
                <w:rFonts w:cs="Traditional Arabic"/>
                <w:sz w:val="20"/>
                <w:rtl/>
              </w:rPr>
              <w:t xml:space="preserve"> </w:t>
            </w:r>
            <w:r w:rsidRPr="00587577">
              <w:rPr>
                <w:rFonts w:cs="Traditional Arabic"/>
                <w:sz w:val="20"/>
                <w:rtl/>
              </w:rPr>
              <w:t>و</w:t>
            </w:r>
          </w:p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ا ب-10/29</w:t>
            </w:r>
          </w:p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عالية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tabs>
                <w:tab w:val="left" w:pos="677"/>
              </w:tabs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باء</w:t>
            </w:r>
            <w:r>
              <w:rPr>
                <w:rFonts w:cs="Traditional Arabic"/>
                <w:sz w:val="20"/>
                <w:rtl/>
              </w:rPr>
              <w:t xml:space="preserve"> </w:t>
            </w:r>
            <w:r w:rsidRPr="00587577">
              <w:rPr>
                <w:rFonts w:cs="Traditional Arabic"/>
                <w:sz w:val="20"/>
                <w:rtl/>
              </w:rPr>
              <w:t>-</w:t>
            </w:r>
            <w:r w:rsidRPr="00272DC9">
              <w:rPr>
                <w:b/>
                <w:bCs/>
                <w:rtl/>
              </w:rPr>
              <w:tab/>
            </w:r>
            <w:r w:rsidRPr="00587577">
              <w:rPr>
                <w:rFonts w:cs="Traditional Arabic"/>
                <w:sz w:val="20"/>
                <w:rtl/>
              </w:rPr>
              <w:t>التعاون والتنسيق الدوليان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 xml:space="preserve">تزويد الأمانة بتوجيهات، حسب ما هو مناسب، بشأن وسائل تعزيز التنسيق والتعاون مع المنظمات الدولية والإقليمية والاتفاقات البيئية المتعددة الأطراف في المجالات ذات </w:t>
            </w:r>
            <w:r w:rsidRPr="00587577">
              <w:rPr>
                <w:rFonts w:cs="Traditional Arabic"/>
                <w:sz w:val="20"/>
                <w:rtl/>
              </w:rPr>
              <w:lastRenderedPageBreak/>
              <w:t>الصلة بالاتفاقية.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lastRenderedPageBreak/>
              <w:t>ا ب-10/15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متوسطة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tabs>
                <w:tab w:val="left" w:pos="677"/>
              </w:tabs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lastRenderedPageBreak/>
              <w:t>جيم</w:t>
            </w:r>
            <w:r>
              <w:rPr>
                <w:rFonts w:cs="Traditional Arabic"/>
                <w:sz w:val="20"/>
                <w:rtl/>
              </w:rPr>
              <w:t xml:space="preserve"> </w:t>
            </w:r>
            <w:r w:rsidRPr="00587577">
              <w:rPr>
                <w:rFonts w:cs="Traditional Arabic"/>
                <w:sz w:val="20"/>
                <w:rtl/>
              </w:rPr>
              <w:t>-</w:t>
            </w:r>
            <w:r w:rsidRPr="00272DC9">
              <w:rPr>
                <w:b/>
                <w:bCs/>
                <w:rtl/>
              </w:rPr>
              <w:tab/>
            </w:r>
            <w:r w:rsidRPr="00587577">
              <w:rPr>
                <w:rFonts w:cs="Traditional Arabic"/>
                <w:sz w:val="20"/>
                <w:rtl/>
              </w:rPr>
              <w:t>التفكيك السليم بيئيا</w:t>
            </w:r>
            <w:r>
              <w:rPr>
                <w:rFonts w:cs="Traditional Arabic"/>
                <w:sz w:val="20"/>
                <w:rtl/>
              </w:rPr>
              <w:t>ً</w:t>
            </w:r>
            <w:r w:rsidRPr="00587577">
              <w:rPr>
                <w:rFonts w:cs="Traditional Arabic"/>
                <w:sz w:val="20"/>
                <w:rtl/>
              </w:rPr>
              <w:t xml:space="preserve"> للسفن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تزويد الأمانة بالتوجيهات بشأن البرامج الخاصة بالتدوير المستدام للسفن وبشأن التطورات المتعلقة باتفاقية هونغ كونغ وبصفة خاصة تطوير المبادئ التوجيهية في ذلك المجال.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ا ب-10/17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متوسطة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tabs>
                <w:tab w:val="left" w:pos="677"/>
              </w:tabs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دال</w:t>
            </w:r>
            <w:r>
              <w:rPr>
                <w:rFonts w:cs="Traditional Arabic"/>
                <w:sz w:val="20"/>
                <w:rtl/>
              </w:rPr>
              <w:t xml:space="preserve"> </w:t>
            </w:r>
            <w:r w:rsidRPr="00587577">
              <w:rPr>
                <w:rFonts w:cs="Traditional Arabic"/>
                <w:sz w:val="20"/>
                <w:rtl/>
              </w:rPr>
              <w:t>-</w:t>
            </w:r>
            <w:r w:rsidRPr="00272DC9">
              <w:rPr>
                <w:b/>
                <w:bCs/>
                <w:rtl/>
              </w:rPr>
              <w:tab/>
            </w:r>
            <w:r w:rsidRPr="00587577">
              <w:rPr>
                <w:rFonts w:cs="Traditional Arabic"/>
                <w:sz w:val="20"/>
                <w:rtl/>
              </w:rPr>
              <w:t>التعاون بين اتفاقية بازل والمنظمة البحرية الدولية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1- النظر في النسخة المنقحة من التحليل القانوني لتطبيق اتفاقية بازل على النفايات الخطرة والنفايات الأخرى المتولدة على متن السفن.</w:t>
            </w:r>
          </w:p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2- تزويد الأمانة بالتوجيهات بشأن أنشطتها التعاونية مع المنظمة البحرية الدولية</w:t>
            </w:r>
            <w:r>
              <w:rPr>
                <w:rFonts w:cs="Traditional Arabic"/>
                <w:sz w:val="20"/>
                <w:rtl/>
              </w:rPr>
              <w:t xml:space="preserve"> </w:t>
            </w:r>
            <w:r w:rsidRPr="00587577">
              <w:rPr>
                <w:rFonts w:cs="Traditional Arabic"/>
                <w:sz w:val="20"/>
                <w:rtl/>
              </w:rPr>
              <w:t xml:space="preserve">والمنظمة الدولية لتوحيد المقاييس.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ا ب-10/16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متوسطة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7A30FA" w:rsidRDefault="00EC4D69" w:rsidP="000408C1">
            <w:pPr>
              <w:tabs>
                <w:tab w:val="left" w:pos="677"/>
              </w:tabs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7A30FA">
              <w:rPr>
                <w:rFonts w:cs="Traditional Arabic"/>
                <w:sz w:val="20"/>
                <w:rtl/>
              </w:rPr>
              <w:t>هاء -</w:t>
            </w:r>
            <w:r w:rsidRPr="007A30FA">
              <w:rPr>
                <w:rtl/>
              </w:rPr>
              <w:tab/>
            </w:r>
            <w:r w:rsidRPr="007A30FA">
              <w:rPr>
                <w:rFonts w:cs="Traditional Arabic"/>
                <w:sz w:val="20"/>
                <w:rtl/>
              </w:rPr>
              <w:t>برنامج شراكة ا</w:t>
            </w:r>
            <w:r>
              <w:rPr>
                <w:rFonts w:cs="Traditional Arabic"/>
                <w:sz w:val="20"/>
                <w:rtl/>
              </w:rPr>
              <w:t>ت</w:t>
            </w:r>
            <w:r w:rsidRPr="007A30FA">
              <w:rPr>
                <w:rFonts w:cs="Traditional Arabic"/>
                <w:sz w:val="20"/>
                <w:rtl/>
              </w:rPr>
              <w:t>فاقية بازل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تزويد الأمانة بتوجيهات بشأن المبادرات الرامية لتوسيع نطاق مشاركة الاتفاقية لتشمل الشراكات والمشاريع والأنشطة ذات الصلة.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ا ب-10/19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متوسطة</w:t>
            </w:r>
          </w:p>
        </w:tc>
      </w:tr>
    </w:tbl>
    <w:p w:rsidR="00EC4D69" w:rsidRDefault="00EC4D69" w:rsidP="00EC4D69">
      <w:pPr>
        <w:spacing w:after="120" w:line="240" w:lineRule="exact"/>
      </w:pPr>
    </w:p>
    <w:tbl>
      <w:tblPr>
        <w:bidiVisual/>
        <w:tblW w:w="7924" w:type="dxa"/>
        <w:tblInd w:w="1554" w:type="dxa"/>
        <w:tblLook w:val="01E0"/>
      </w:tblPr>
      <w:tblGrid>
        <w:gridCol w:w="1903"/>
        <w:gridCol w:w="3460"/>
        <w:gridCol w:w="1557"/>
        <w:gridCol w:w="1004"/>
      </w:tblGrid>
      <w:tr w:rsidR="00EC4D69" w:rsidRPr="00BB23EF" w:rsidTr="000408C1">
        <w:tc>
          <w:tcPr>
            <w:tcW w:w="7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272DC9" w:rsidRDefault="00EC4D69" w:rsidP="000408C1">
            <w:pPr>
              <w:tabs>
                <w:tab w:val="left" w:pos="850"/>
              </w:tabs>
              <w:spacing w:after="80" w:line="360" w:lineRule="exact"/>
              <w:jc w:val="both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  <w:r w:rsidRPr="00272DC9">
              <w:rPr>
                <w:rFonts w:cs="Traditional Arabic"/>
                <w:b/>
                <w:bCs/>
                <w:i/>
                <w:iCs/>
                <w:sz w:val="20"/>
                <w:rtl/>
              </w:rPr>
              <w:t>سادساً -</w:t>
            </w:r>
            <w:r w:rsidRPr="00272DC9">
              <w:rPr>
                <w:b/>
                <w:bCs/>
                <w:rtl/>
              </w:rPr>
              <w:tab/>
            </w:r>
            <w:r w:rsidRPr="00272DC9">
              <w:rPr>
                <w:rFonts w:cs="Traditional Arabic"/>
                <w:b/>
                <w:bCs/>
                <w:i/>
                <w:iCs/>
                <w:sz w:val="20"/>
                <w:rtl/>
              </w:rPr>
              <w:t>المسائل المالية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EA66E1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EA66E1">
              <w:rPr>
                <w:rFonts w:cs="Traditional Arabic"/>
                <w:b/>
                <w:bCs/>
                <w:sz w:val="20"/>
                <w:rtl/>
              </w:rPr>
              <w:t>الموضوعات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EA66E1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EA66E1">
              <w:rPr>
                <w:rFonts w:cs="Traditional Arabic"/>
                <w:b/>
                <w:bCs/>
                <w:sz w:val="20"/>
                <w:rtl/>
              </w:rPr>
              <w:t>الأنشطة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EA66E1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EA66E1">
              <w:rPr>
                <w:rFonts w:cs="Traditional Arabic"/>
                <w:b/>
                <w:bCs/>
                <w:sz w:val="20"/>
                <w:rtl/>
              </w:rPr>
              <w:t>مقررات مؤتمر الأطراف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EA66E1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EA66E1">
              <w:rPr>
                <w:rFonts w:cs="Traditional Arabic"/>
                <w:b/>
                <w:bCs/>
                <w:sz w:val="20"/>
                <w:rtl/>
              </w:rPr>
              <w:t>الأولوية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الميزانية البرنامجية والمسائل المالية الأخرى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1- توفير التوجيه بشأن إعداد الميزانية البرنامجية للفترة 2014-2015 واستعراض هذا الإعداد، والمسائل المالية ذات الصلة.</w:t>
            </w:r>
          </w:p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2- النظر في تقارير الأمانة بشأن المسائل المالية والإدارية.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ا ب-10/27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عالية</w:t>
            </w:r>
          </w:p>
        </w:tc>
      </w:tr>
    </w:tbl>
    <w:p w:rsidR="00EC4D69" w:rsidRDefault="00EC4D69" w:rsidP="00EC4D69">
      <w:pPr>
        <w:spacing w:after="120" w:line="240" w:lineRule="exact"/>
      </w:pPr>
      <w:r>
        <w:rPr>
          <w:rtl/>
        </w:rPr>
        <w:tab/>
      </w:r>
    </w:p>
    <w:tbl>
      <w:tblPr>
        <w:bidiVisual/>
        <w:tblW w:w="7924" w:type="dxa"/>
        <w:tblInd w:w="1554" w:type="dxa"/>
        <w:tblLook w:val="01E0"/>
      </w:tblPr>
      <w:tblGrid>
        <w:gridCol w:w="1903"/>
        <w:gridCol w:w="3460"/>
        <w:gridCol w:w="1557"/>
        <w:gridCol w:w="1004"/>
      </w:tblGrid>
      <w:tr w:rsidR="00EC4D69" w:rsidRPr="00BB23EF" w:rsidTr="000408C1">
        <w:tc>
          <w:tcPr>
            <w:tcW w:w="7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272DC9" w:rsidRDefault="00EC4D69" w:rsidP="000408C1">
            <w:pPr>
              <w:tabs>
                <w:tab w:val="left" w:pos="850"/>
              </w:tabs>
              <w:spacing w:after="80" w:line="360" w:lineRule="exact"/>
              <w:jc w:val="both"/>
              <w:rPr>
                <w:rFonts w:cs="Traditional Arabic"/>
                <w:b/>
                <w:bCs/>
                <w:i/>
                <w:iCs/>
                <w:sz w:val="20"/>
                <w:rtl/>
              </w:rPr>
            </w:pPr>
            <w:r w:rsidRPr="00272DC9">
              <w:rPr>
                <w:rFonts w:cs="Traditional Arabic"/>
                <w:b/>
                <w:bCs/>
                <w:i/>
                <w:iCs/>
                <w:sz w:val="20"/>
                <w:rtl/>
              </w:rPr>
              <w:t>سابعاً -</w:t>
            </w:r>
            <w:r w:rsidRPr="00272DC9">
              <w:rPr>
                <w:rFonts w:cs="Traditional Arabic"/>
                <w:b/>
                <w:bCs/>
                <w:i/>
                <w:iCs/>
                <w:sz w:val="20"/>
                <w:rtl/>
              </w:rPr>
              <w:tab/>
              <w:t>مقررات مؤتمر الأطراف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7A30FA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7A30FA">
              <w:rPr>
                <w:rFonts w:cs="Traditional Arabic"/>
                <w:b/>
                <w:bCs/>
                <w:sz w:val="20"/>
                <w:rtl/>
              </w:rPr>
              <w:t>الموضوعات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7A30FA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7A30FA">
              <w:rPr>
                <w:rFonts w:cs="Traditional Arabic"/>
                <w:b/>
                <w:bCs/>
                <w:sz w:val="20"/>
                <w:rtl/>
              </w:rPr>
              <w:t>الأنشطة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7A30FA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7A30FA">
              <w:rPr>
                <w:rFonts w:cs="Traditional Arabic"/>
                <w:b/>
                <w:bCs/>
                <w:sz w:val="20"/>
                <w:rtl/>
              </w:rPr>
              <w:t>مقررات مؤتمر الأطراف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7A30FA" w:rsidRDefault="00EC4D69" w:rsidP="000408C1">
            <w:pPr>
              <w:spacing w:after="80" w:line="360" w:lineRule="exact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7A30FA">
              <w:rPr>
                <w:rFonts w:cs="Traditional Arabic"/>
                <w:b/>
                <w:bCs/>
                <w:sz w:val="20"/>
                <w:rtl/>
              </w:rPr>
              <w:t>الأولوية</w:t>
            </w:r>
          </w:p>
        </w:tc>
      </w:tr>
      <w:tr w:rsidR="00EC4D69" w:rsidRPr="00BB23EF" w:rsidTr="000408C1"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مقررات مؤتمر الأطراف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استعراض مشاريع المقررات وتقديمها إلى مؤتمر الأطراف للنظر فيها وفي إمكانية اعتمادها في اجتماعه الحادي عشر.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69" w:rsidRPr="00587577" w:rsidRDefault="00EC4D69" w:rsidP="000408C1">
            <w:pPr>
              <w:spacing w:after="80" w:line="360" w:lineRule="exact"/>
              <w:jc w:val="both"/>
              <w:rPr>
                <w:rFonts w:cs="Traditional Arabic"/>
                <w:sz w:val="20"/>
                <w:rtl/>
              </w:rPr>
            </w:pPr>
            <w:r w:rsidRPr="00587577">
              <w:rPr>
                <w:rFonts w:cs="Traditional Arabic"/>
                <w:sz w:val="20"/>
                <w:rtl/>
              </w:rPr>
              <w:t>عالية</w:t>
            </w:r>
          </w:p>
        </w:tc>
      </w:tr>
    </w:tbl>
    <w:p w:rsidR="008C689F" w:rsidRDefault="008C689F"/>
    <w:sectPr w:rsidR="008C689F" w:rsidSect="008C68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C4D69"/>
    <w:rsid w:val="008C689F"/>
    <w:rsid w:val="00EC4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D69"/>
    <w:pPr>
      <w:bidi/>
      <w:spacing w:after="0" w:line="240" w:lineRule="auto"/>
    </w:pPr>
    <w:rPr>
      <w:rFonts w:ascii="Times New Roman" w:eastAsia="Times New Roman" w:hAnsi="Times New Roman" w:cs="Simplified Arabic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968</Words>
  <Characters>5520</Characters>
  <Application>Microsoft Office Word</Application>
  <DocSecurity>0</DocSecurity>
  <Lines>46</Lines>
  <Paragraphs>12</Paragraphs>
  <ScaleCrop>false</ScaleCrop>
  <Company>BRS</Company>
  <LinksUpToDate>false</LinksUpToDate>
  <CharactersWithSpaces>6476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achakwera</dc:creator>
  <cp:lastModifiedBy>achakwera</cp:lastModifiedBy>
  <cp:revision>1</cp:revision>
  <dcterms:created xsi:type="dcterms:W3CDTF">2018-02-21T16:30:00Z</dcterms:created>
  <dcterms:modified xsi:type="dcterms:W3CDTF">2018-02-21T16:30:00Z</dcterms:modified>
</cp:coreProperties>
</file>