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84B" w:rsidRPr="0035184B" w:rsidRDefault="0035184B" w:rsidP="0035184B">
      <w:pPr>
        <w:pStyle w:val="CH1"/>
      </w:pPr>
      <w:r>
        <w:tab/>
      </w:r>
      <w:r>
        <w:tab/>
      </w:r>
      <w:r w:rsidRPr="0035184B">
        <w:t xml:space="preserve">BC-10/25 : Programme de travail du Groupe de travail </w:t>
      </w:r>
      <w:r w:rsidRPr="0035184B">
        <w:br/>
        <w:t>à composition non limitée pour la période 2012-2013</w:t>
      </w:r>
    </w:p>
    <w:p w:rsidR="0035184B" w:rsidRPr="0035184B" w:rsidRDefault="0035184B" w:rsidP="0035184B">
      <w:pPr>
        <w:pStyle w:val="NormalNonumberChar"/>
        <w:rPr>
          <w:rFonts w:ascii="Times New Roman" w:hAnsi="Times New Roman" w:cs="Times New Roman"/>
        </w:rPr>
      </w:pPr>
      <w:r w:rsidRPr="0035184B">
        <w:rPr>
          <w:rFonts w:ascii="Times New Roman" w:hAnsi="Times New Roman" w:cs="Times New Roman"/>
        </w:rPr>
        <w:tab/>
      </w:r>
      <w:r w:rsidRPr="0035184B">
        <w:rPr>
          <w:rFonts w:ascii="Times New Roman" w:hAnsi="Times New Roman" w:cs="Times New Roman"/>
          <w:i/>
        </w:rPr>
        <w:t>La Conférence des Parties,</w:t>
      </w:r>
    </w:p>
    <w:p w:rsidR="0035184B" w:rsidRPr="004C73B6" w:rsidRDefault="0035184B" w:rsidP="0035184B">
      <w:pPr>
        <w:pStyle w:val="NormalNonumberChar"/>
        <w:rPr>
          <w:rFonts w:ascii="Times New Roman" w:hAnsi="Times New Roman" w:cs="Times New Roman"/>
          <w:sz w:val="20"/>
        </w:rPr>
      </w:pPr>
      <w:r w:rsidRPr="0035184B">
        <w:rPr>
          <w:rFonts w:ascii="Times New Roman" w:hAnsi="Times New Roman" w:cs="Times New Roman"/>
        </w:rPr>
        <w:tab/>
      </w:r>
      <w:r w:rsidRPr="004C73B6">
        <w:rPr>
          <w:rFonts w:ascii="Times New Roman" w:hAnsi="Times New Roman" w:cs="Times New Roman"/>
          <w:sz w:val="20"/>
        </w:rPr>
        <w:t>1.</w:t>
      </w:r>
      <w:r w:rsidRPr="004C73B6">
        <w:rPr>
          <w:rFonts w:ascii="Times New Roman" w:hAnsi="Times New Roman" w:cs="Times New Roman"/>
          <w:sz w:val="20"/>
        </w:rPr>
        <w:tab/>
      </w:r>
      <w:r w:rsidRPr="004C73B6">
        <w:rPr>
          <w:rFonts w:ascii="Times New Roman" w:hAnsi="Times New Roman" w:cs="Times New Roman"/>
          <w:i/>
          <w:sz w:val="20"/>
        </w:rPr>
        <w:t xml:space="preserve">Adopte </w:t>
      </w:r>
      <w:r w:rsidRPr="004C73B6">
        <w:rPr>
          <w:rFonts w:ascii="Times New Roman" w:hAnsi="Times New Roman" w:cs="Times New Roman"/>
          <w:sz w:val="20"/>
        </w:rPr>
        <w:t>le programme de travail du Groupe de travail à composition non limitée pour la période 2012-2013, qui figure à l’annexe de la présente décision;</w:t>
      </w:r>
    </w:p>
    <w:p w:rsidR="0035184B" w:rsidRPr="004C73B6" w:rsidRDefault="0035184B" w:rsidP="0035184B">
      <w:pPr>
        <w:pStyle w:val="NormalNonumberChar"/>
        <w:rPr>
          <w:rFonts w:ascii="Times New Roman" w:hAnsi="Times New Roman" w:cs="Times New Roman"/>
          <w:sz w:val="20"/>
        </w:rPr>
      </w:pPr>
      <w:r w:rsidRPr="004C73B6">
        <w:rPr>
          <w:rFonts w:ascii="Times New Roman" w:hAnsi="Times New Roman" w:cs="Times New Roman"/>
          <w:i/>
          <w:sz w:val="20"/>
        </w:rPr>
        <w:tab/>
      </w:r>
      <w:r w:rsidRPr="004C73B6">
        <w:rPr>
          <w:rFonts w:ascii="Times New Roman" w:hAnsi="Times New Roman" w:cs="Times New Roman"/>
          <w:sz w:val="20"/>
        </w:rPr>
        <w:t>2.</w:t>
      </w:r>
      <w:r w:rsidRPr="004C73B6">
        <w:rPr>
          <w:rFonts w:ascii="Times New Roman" w:hAnsi="Times New Roman" w:cs="Times New Roman"/>
          <w:sz w:val="20"/>
        </w:rPr>
        <w:tab/>
      </w:r>
      <w:r w:rsidRPr="004C73B6">
        <w:rPr>
          <w:rFonts w:ascii="Times New Roman" w:hAnsi="Times New Roman" w:cs="Times New Roman"/>
          <w:i/>
          <w:sz w:val="20"/>
        </w:rPr>
        <w:t xml:space="preserve">Élit </w:t>
      </w:r>
      <w:r w:rsidRPr="004C73B6">
        <w:rPr>
          <w:rFonts w:ascii="Times New Roman" w:hAnsi="Times New Roman" w:cs="Times New Roman"/>
          <w:sz w:val="20"/>
        </w:rPr>
        <w:t>les représentants suivants comme membres du Bureau du Groupe de travail à composition non limitée pour la période 2012-2013 :</w:t>
      </w:r>
    </w:p>
    <w:tbl>
      <w:tblPr>
        <w:tblW w:w="0" w:type="auto"/>
        <w:tblInd w:w="1794" w:type="dxa"/>
        <w:tblLook w:val="01E0"/>
      </w:tblPr>
      <w:tblGrid>
        <w:gridCol w:w="2309"/>
        <w:gridCol w:w="5473"/>
      </w:tblGrid>
      <w:tr w:rsidR="0035184B" w:rsidRPr="004C73B6" w:rsidTr="00B91360">
        <w:tc>
          <w:tcPr>
            <w:tcW w:w="2340" w:type="dxa"/>
          </w:tcPr>
          <w:p w:rsidR="0035184B" w:rsidRPr="004C73B6" w:rsidRDefault="0035184B" w:rsidP="00B91360">
            <w:pPr>
              <w:pStyle w:val="Normalnumber"/>
              <w:numPr>
                <w:ilvl w:val="0"/>
                <w:numId w:val="0"/>
              </w:numPr>
              <w:rPr>
                <w:rFonts w:ascii="Times New Roman" w:hAnsi="Times New Roman" w:cs="Times New Roman"/>
                <w:sz w:val="20"/>
              </w:rPr>
            </w:pPr>
            <w:r w:rsidRPr="004C73B6">
              <w:rPr>
                <w:rFonts w:ascii="Times New Roman" w:hAnsi="Times New Roman" w:cs="Times New Roman"/>
                <w:sz w:val="20"/>
              </w:rPr>
              <w:t>Coprésident :</w:t>
            </w:r>
          </w:p>
        </w:tc>
        <w:tc>
          <w:tcPr>
            <w:tcW w:w="5578" w:type="dxa"/>
          </w:tcPr>
          <w:p w:rsidR="0035184B" w:rsidRPr="004C73B6" w:rsidRDefault="0035184B" w:rsidP="00B91360">
            <w:pPr>
              <w:pStyle w:val="Normalnumber"/>
              <w:numPr>
                <w:ilvl w:val="0"/>
                <w:numId w:val="0"/>
              </w:numPr>
              <w:rPr>
                <w:rFonts w:ascii="Times New Roman" w:hAnsi="Times New Roman" w:cs="Times New Roman"/>
                <w:sz w:val="20"/>
              </w:rPr>
            </w:pPr>
            <w:r w:rsidRPr="004C73B6">
              <w:rPr>
                <w:rFonts w:ascii="Times New Roman" w:hAnsi="Times New Roman" w:cs="Times New Roman"/>
                <w:sz w:val="20"/>
              </w:rPr>
              <w:t>Mme </w:t>
            </w:r>
            <w:proofErr w:type="spellStart"/>
            <w:r w:rsidRPr="004C73B6">
              <w:rPr>
                <w:rFonts w:ascii="Times New Roman" w:hAnsi="Times New Roman" w:cs="Times New Roman"/>
                <w:sz w:val="20"/>
              </w:rPr>
              <w:t>Marcela</w:t>
            </w:r>
            <w:proofErr w:type="spellEnd"/>
            <w:r w:rsidRPr="004C73B6">
              <w:rPr>
                <w:rFonts w:ascii="Times New Roman" w:hAnsi="Times New Roman" w:cs="Times New Roman"/>
                <w:sz w:val="20"/>
              </w:rPr>
              <w:t> </w:t>
            </w:r>
            <w:proofErr w:type="spellStart"/>
            <w:r w:rsidRPr="004C73B6">
              <w:rPr>
                <w:rFonts w:ascii="Times New Roman" w:hAnsi="Times New Roman" w:cs="Times New Roman"/>
                <w:sz w:val="20"/>
              </w:rPr>
              <w:t>Bonilla</w:t>
            </w:r>
            <w:proofErr w:type="spellEnd"/>
            <w:r w:rsidRPr="004C73B6">
              <w:rPr>
                <w:rFonts w:ascii="Times New Roman" w:hAnsi="Times New Roman" w:cs="Times New Roman"/>
                <w:sz w:val="20"/>
              </w:rPr>
              <w:t xml:space="preserve"> (Colombie) (Questions techniques</w:t>
            </w:r>
            <w:proofErr w:type="gramStart"/>
            <w:r w:rsidRPr="004C73B6">
              <w:rPr>
                <w:rFonts w:ascii="Times New Roman" w:hAnsi="Times New Roman" w:cs="Times New Roman"/>
                <w:sz w:val="20"/>
              </w:rPr>
              <w:t>)</w:t>
            </w:r>
            <w:proofErr w:type="gramEnd"/>
            <w:r w:rsidRPr="004C73B6">
              <w:rPr>
                <w:rFonts w:ascii="Times New Roman" w:hAnsi="Times New Roman" w:cs="Times New Roman"/>
                <w:sz w:val="20"/>
              </w:rPr>
              <w:br/>
              <w:t xml:space="preserve">M. </w:t>
            </w:r>
            <w:proofErr w:type="spellStart"/>
            <w:r w:rsidRPr="004C73B6">
              <w:rPr>
                <w:rFonts w:ascii="Times New Roman" w:hAnsi="Times New Roman" w:cs="Times New Roman"/>
                <w:sz w:val="20"/>
              </w:rPr>
              <w:t>Luay</w:t>
            </w:r>
            <w:proofErr w:type="spellEnd"/>
            <w:r w:rsidRPr="004C73B6">
              <w:rPr>
                <w:rFonts w:ascii="Times New Roman" w:hAnsi="Times New Roman" w:cs="Times New Roman"/>
                <w:sz w:val="20"/>
              </w:rPr>
              <w:t xml:space="preserve"> S. Al-</w:t>
            </w:r>
            <w:proofErr w:type="spellStart"/>
            <w:r w:rsidRPr="004C73B6">
              <w:rPr>
                <w:rFonts w:ascii="Times New Roman" w:hAnsi="Times New Roman" w:cs="Times New Roman"/>
                <w:sz w:val="20"/>
              </w:rPr>
              <w:t>Mukhtar</w:t>
            </w:r>
            <w:proofErr w:type="spellEnd"/>
            <w:r w:rsidRPr="004C73B6">
              <w:rPr>
                <w:rFonts w:ascii="Times New Roman" w:hAnsi="Times New Roman" w:cs="Times New Roman"/>
                <w:sz w:val="20"/>
              </w:rPr>
              <w:t xml:space="preserve"> (Iraq)</w:t>
            </w:r>
            <w:r w:rsidRPr="004C73B6">
              <w:rPr>
                <w:rFonts w:ascii="Times New Roman" w:hAnsi="Times New Roman" w:cs="Times New Roman"/>
                <w:sz w:val="20"/>
              </w:rPr>
              <w:tab/>
              <w:t xml:space="preserve"> (Questions juridiques)</w:t>
            </w:r>
          </w:p>
        </w:tc>
      </w:tr>
      <w:tr w:rsidR="0035184B" w:rsidRPr="004C73B6" w:rsidTr="00B91360">
        <w:tc>
          <w:tcPr>
            <w:tcW w:w="2340" w:type="dxa"/>
          </w:tcPr>
          <w:p w:rsidR="0035184B" w:rsidRPr="004C73B6" w:rsidRDefault="0035184B" w:rsidP="00B91360">
            <w:pPr>
              <w:pStyle w:val="Normalnumber"/>
              <w:numPr>
                <w:ilvl w:val="0"/>
                <w:numId w:val="0"/>
              </w:numPr>
              <w:rPr>
                <w:rFonts w:ascii="Times New Roman" w:hAnsi="Times New Roman" w:cs="Times New Roman"/>
                <w:sz w:val="20"/>
              </w:rPr>
            </w:pPr>
            <w:r w:rsidRPr="004C73B6">
              <w:rPr>
                <w:rFonts w:ascii="Times New Roman" w:hAnsi="Times New Roman" w:cs="Times New Roman"/>
                <w:sz w:val="20"/>
              </w:rPr>
              <w:t>Vice-présidents :</w:t>
            </w:r>
          </w:p>
        </w:tc>
        <w:tc>
          <w:tcPr>
            <w:tcW w:w="5578" w:type="dxa"/>
          </w:tcPr>
          <w:p w:rsidR="0035184B" w:rsidRPr="004C73B6" w:rsidRDefault="0035184B" w:rsidP="00B91360">
            <w:pPr>
              <w:pStyle w:val="Normalnumber"/>
              <w:numPr>
                <w:ilvl w:val="0"/>
                <w:numId w:val="0"/>
              </w:numPr>
              <w:rPr>
                <w:rFonts w:ascii="Times New Roman" w:hAnsi="Times New Roman" w:cs="Times New Roman"/>
                <w:sz w:val="20"/>
              </w:rPr>
            </w:pPr>
            <w:r w:rsidRPr="004C73B6">
              <w:rPr>
                <w:rFonts w:ascii="Times New Roman" w:hAnsi="Times New Roman" w:cs="Times New Roman"/>
                <w:sz w:val="20"/>
              </w:rPr>
              <w:t xml:space="preserve">M. James </w:t>
            </w:r>
            <w:proofErr w:type="spellStart"/>
            <w:r w:rsidRPr="004C73B6">
              <w:rPr>
                <w:rFonts w:ascii="Times New Roman" w:hAnsi="Times New Roman" w:cs="Times New Roman"/>
                <w:sz w:val="20"/>
              </w:rPr>
              <w:t>Mulolo</w:t>
            </w:r>
            <w:proofErr w:type="spellEnd"/>
            <w:r w:rsidRPr="004C73B6">
              <w:rPr>
                <w:rFonts w:ascii="Times New Roman" w:hAnsi="Times New Roman" w:cs="Times New Roman"/>
                <w:sz w:val="20"/>
              </w:rPr>
              <w:t xml:space="preserve"> (Zambie) (Questions techniques</w:t>
            </w:r>
            <w:proofErr w:type="gramStart"/>
            <w:r w:rsidRPr="004C73B6">
              <w:rPr>
                <w:rFonts w:ascii="Times New Roman" w:hAnsi="Times New Roman" w:cs="Times New Roman"/>
                <w:sz w:val="20"/>
              </w:rPr>
              <w:t>)</w:t>
            </w:r>
            <w:proofErr w:type="gramEnd"/>
            <w:r w:rsidRPr="004C73B6">
              <w:rPr>
                <w:rFonts w:ascii="Times New Roman" w:hAnsi="Times New Roman" w:cs="Times New Roman"/>
                <w:sz w:val="20"/>
              </w:rPr>
              <w:br/>
              <w:t xml:space="preserve">M. Vladimir </w:t>
            </w:r>
            <w:proofErr w:type="spellStart"/>
            <w:r w:rsidRPr="004C73B6">
              <w:rPr>
                <w:rFonts w:ascii="Times New Roman" w:hAnsi="Times New Roman" w:cs="Times New Roman"/>
                <w:sz w:val="20"/>
              </w:rPr>
              <w:t>Lenev</w:t>
            </w:r>
            <w:proofErr w:type="spellEnd"/>
            <w:r w:rsidRPr="004C73B6">
              <w:rPr>
                <w:rFonts w:ascii="Times New Roman" w:hAnsi="Times New Roman" w:cs="Times New Roman"/>
                <w:sz w:val="20"/>
              </w:rPr>
              <w:t xml:space="preserve"> (</w:t>
            </w:r>
            <w:hyperlink r:id="rId5" w:tgtFrame="_blank" w:history="1">
              <w:r w:rsidRPr="004C73B6">
                <w:rPr>
                  <w:rFonts w:ascii="Times New Roman" w:hAnsi="Times New Roman" w:cs="Times New Roman"/>
                  <w:sz w:val="20"/>
                </w:rPr>
                <w:t>Fédération</w:t>
              </w:r>
            </w:hyperlink>
            <w:r w:rsidRPr="004C73B6">
              <w:rPr>
                <w:rFonts w:ascii="Times New Roman" w:hAnsi="Times New Roman" w:cs="Times New Roman"/>
                <w:sz w:val="20"/>
              </w:rPr>
              <w:t xml:space="preserve"> de Russie) (Questions juridiques)</w:t>
            </w:r>
          </w:p>
        </w:tc>
      </w:tr>
      <w:tr w:rsidR="0035184B" w:rsidRPr="004C73B6" w:rsidTr="00B91360">
        <w:tc>
          <w:tcPr>
            <w:tcW w:w="2340" w:type="dxa"/>
          </w:tcPr>
          <w:p w:rsidR="0035184B" w:rsidRPr="004C73B6" w:rsidRDefault="0035184B" w:rsidP="00B91360">
            <w:pPr>
              <w:pStyle w:val="Normalnumber"/>
              <w:numPr>
                <w:ilvl w:val="0"/>
                <w:numId w:val="0"/>
              </w:numPr>
              <w:rPr>
                <w:rFonts w:ascii="Times New Roman" w:hAnsi="Times New Roman" w:cs="Times New Roman"/>
                <w:sz w:val="20"/>
              </w:rPr>
            </w:pPr>
            <w:r w:rsidRPr="004C73B6">
              <w:rPr>
                <w:rFonts w:ascii="Times New Roman" w:hAnsi="Times New Roman" w:cs="Times New Roman"/>
                <w:sz w:val="20"/>
              </w:rPr>
              <w:t>Rapporteur:</w:t>
            </w:r>
          </w:p>
        </w:tc>
        <w:tc>
          <w:tcPr>
            <w:tcW w:w="5578" w:type="dxa"/>
          </w:tcPr>
          <w:p w:rsidR="0035184B" w:rsidRPr="004C73B6" w:rsidRDefault="0035184B" w:rsidP="00B91360">
            <w:pPr>
              <w:pStyle w:val="Normalnumber"/>
              <w:numPr>
                <w:ilvl w:val="0"/>
                <w:numId w:val="0"/>
              </w:numPr>
              <w:rPr>
                <w:rFonts w:ascii="Times New Roman" w:hAnsi="Times New Roman" w:cs="Times New Roman"/>
                <w:sz w:val="20"/>
              </w:rPr>
            </w:pPr>
            <w:r w:rsidRPr="004C73B6">
              <w:rPr>
                <w:rFonts w:ascii="Times New Roman" w:hAnsi="Times New Roman" w:cs="Times New Roman"/>
                <w:sz w:val="20"/>
              </w:rPr>
              <w:t xml:space="preserve">M. </w:t>
            </w:r>
            <w:proofErr w:type="spellStart"/>
            <w:r w:rsidRPr="004C73B6">
              <w:rPr>
                <w:rFonts w:ascii="Times New Roman" w:hAnsi="Times New Roman" w:cs="Times New Roman"/>
                <w:sz w:val="20"/>
              </w:rPr>
              <w:t>Tuomas</w:t>
            </w:r>
            <w:proofErr w:type="spellEnd"/>
            <w:r w:rsidRPr="004C73B6">
              <w:rPr>
                <w:rFonts w:ascii="Times New Roman" w:hAnsi="Times New Roman" w:cs="Times New Roman"/>
                <w:sz w:val="20"/>
              </w:rPr>
              <w:t xml:space="preserve"> </w:t>
            </w:r>
            <w:proofErr w:type="spellStart"/>
            <w:r w:rsidRPr="004C73B6">
              <w:rPr>
                <w:rFonts w:ascii="Times New Roman" w:hAnsi="Times New Roman" w:cs="Times New Roman"/>
                <w:sz w:val="20"/>
              </w:rPr>
              <w:t>Aarnio</w:t>
            </w:r>
            <w:proofErr w:type="spellEnd"/>
            <w:r w:rsidRPr="004C73B6">
              <w:rPr>
                <w:rFonts w:ascii="Times New Roman" w:hAnsi="Times New Roman" w:cs="Times New Roman"/>
                <w:b/>
                <w:bCs/>
                <w:sz w:val="20"/>
              </w:rPr>
              <w:t xml:space="preserve"> </w:t>
            </w:r>
            <w:r w:rsidRPr="004C73B6">
              <w:rPr>
                <w:rFonts w:ascii="Times New Roman" w:hAnsi="Times New Roman" w:cs="Times New Roman"/>
                <w:sz w:val="20"/>
              </w:rPr>
              <w:t>(Finlande)</w:t>
            </w:r>
          </w:p>
        </w:tc>
      </w:tr>
    </w:tbl>
    <w:p w:rsidR="0035184B" w:rsidRPr="005834A5" w:rsidRDefault="0035184B" w:rsidP="0035184B">
      <w:pPr>
        <w:pStyle w:val="CH1"/>
      </w:pPr>
      <w:r w:rsidRPr="005834A5">
        <w:tab/>
      </w:r>
      <w:r w:rsidRPr="005834A5">
        <w:tab/>
        <w:t>Annexe à la décision BC-10/25</w:t>
      </w:r>
    </w:p>
    <w:p w:rsidR="0035184B" w:rsidRPr="005834A5" w:rsidRDefault="0035184B" w:rsidP="0035184B">
      <w:pPr>
        <w:pStyle w:val="CH1"/>
      </w:pPr>
      <w:r w:rsidRPr="005834A5">
        <w:tab/>
      </w:r>
      <w:r w:rsidRPr="005834A5">
        <w:tab/>
        <w:t>Programme de travail du Groupe de travail à composition non limitée pour la période 2012-2013</w:t>
      </w:r>
    </w:p>
    <w:tbl>
      <w:tblPr>
        <w:tblW w:w="0" w:type="auto"/>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0"/>
        <w:gridCol w:w="3648"/>
        <w:gridCol w:w="1560"/>
        <w:gridCol w:w="1200"/>
      </w:tblGrid>
      <w:tr w:rsidR="0035184B" w:rsidRPr="005834A5" w:rsidTr="00B91360">
        <w:trPr>
          <w:cantSplit/>
        </w:trPr>
        <w:tc>
          <w:tcPr>
            <w:tcW w:w="8328" w:type="dxa"/>
            <w:gridSpan w:val="4"/>
            <w:tcBorders>
              <w:top w:val="single" w:sz="4" w:space="0" w:color="auto"/>
              <w:left w:val="single" w:sz="4" w:space="0" w:color="auto"/>
              <w:bottom w:val="single" w:sz="4" w:space="0" w:color="auto"/>
              <w:right w:val="single" w:sz="4" w:space="0" w:color="auto"/>
            </w:tcBorders>
          </w:tcPr>
          <w:p w:rsidR="0035184B" w:rsidRPr="002937C7" w:rsidRDefault="0035184B" w:rsidP="00B91360">
            <w:pPr>
              <w:pStyle w:val="Heading5"/>
              <w:keepNext w:val="0"/>
              <w:tabs>
                <w:tab w:val="left" w:pos="540"/>
                <w:tab w:val="left" w:pos="1871"/>
                <w:tab w:val="left" w:pos="2495"/>
                <w:tab w:val="left" w:pos="3119"/>
                <w:tab w:val="left" w:pos="3742"/>
                <w:tab w:val="left" w:pos="4366"/>
                <w:tab w:val="left" w:pos="4990"/>
                <w:tab w:val="left" w:pos="5613"/>
              </w:tabs>
              <w:spacing w:before="120" w:after="120"/>
              <w:rPr>
                <w:rFonts w:ascii="Times New Roman" w:eastAsia="Times New Roman" w:hAnsi="Times New Roman"/>
                <w:i/>
                <w:iCs/>
                <w:sz w:val="20"/>
              </w:rPr>
            </w:pPr>
            <w:r w:rsidRPr="002937C7">
              <w:rPr>
                <w:rFonts w:ascii="Times New Roman" w:eastAsia="Times New Roman" w:hAnsi="Times New Roman"/>
                <w:i/>
                <w:sz w:val="20"/>
              </w:rPr>
              <w:t xml:space="preserve">I. </w:t>
            </w:r>
            <w:r w:rsidRPr="002937C7">
              <w:rPr>
                <w:rFonts w:ascii="Times New Roman" w:eastAsia="Times New Roman" w:hAnsi="Times New Roman"/>
                <w:i/>
                <w:sz w:val="20"/>
              </w:rPr>
              <w:tab/>
              <w:t>Questions stratégiques</w:t>
            </w:r>
          </w:p>
        </w:tc>
      </w:tr>
      <w:tr w:rsidR="0035184B" w:rsidRPr="005834A5" w:rsidTr="00B91360">
        <w:tc>
          <w:tcPr>
            <w:tcW w:w="1920" w:type="dxa"/>
            <w:tcBorders>
              <w:top w:val="single" w:sz="4" w:space="0" w:color="auto"/>
              <w:left w:val="single" w:sz="4" w:space="0" w:color="auto"/>
              <w:bottom w:val="single" w:sz="4" w:space="0" w:color="auto"/>
              <w:right w:val="single" w:sz="4" w:space="0" w:color="auto"/>
            </w:tcBorders>
            <w:vAlign w:val="center"/>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r w:rsidRPr="005834A5">
              <w:rPr>
                <w:b/>
                <w:bCs/>
              </w:rPr>
              <w:t>Questions</w:t>
            </w:r>
          </w:p>
        </w:tc>
        <w:tc>
          <w:tcPr>
            <w:tcW w:w="3648" w:type="dxa"/>
            <w:tcBorders>
              <w:top w:val="single" w:sz="4" w:space="0" w:color="auto"/>
              <w:left w:val="single" w:sz="4" w:space="0" w:color="auto"/>
              <w:bottom w:val="single" w:sz="4" w:space="0" w:color="auto"/>
              <w:right w:val="single" w:sz="4" w:space="0" w:color="auto"/>
            </w:tcBorders>
            <w:vAlign w:val="center"/>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p>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r w:rsidRPr="005834A5">
              <w:rPr>
                <w:b/>
                <w:bCs/>
              </w:rPr>
              <w:t>Activités</w:t>
            </w:r>
          </w:p>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p>
        </w:tc>
        <w:tc>
          <w:tcPr>
            <w:tcW w:w="1560" w:type="dxa"/>
            <w:tcBorders>
              <w:top w:val="single" w:sz="4" w:space="0" w:color="auto"/>
              <w:left w:val="single" w:sz="4" w:space="0" w:color="auto"/>
              <w:bottom w:val="single" w:sz="4" w:space="0" w:color="auto"/>
              <w:right w:val="single" w:sz="4" w:space="0" w:color="auto"/>
            </w:tcBorders>
            <w:vAlign w:val="center"/>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r w:rsidRPr="005834A5">
              <w:rPr>
                <w:b/>
                <w:bCs/>
              </w:rPr>
              <w:t>Décisions de la Conférence des Parties</w:t>
            </w:r>
          </w:p>
        </w:tc>
        <w:tc>
          <w:tcPr>
            <w:tcW w:w="1200" w:type="dxa"/>
            <w:tcBorders>
              <w:top w:val="single" w:sz="4" w:space="0" w:color="auto"/>
              <w:left w:val="single" w:sz="4" w:space="0" w:color="auto"/>
              <w:bottom w:val="single" w:sz="4" w:space="0" w:color="auto"/>
              <w:right w:val="single" w:sz="4" w:space="0" w:color="auto"/>
            </w:tcBorders>
            <w:vAlign w:val="center"/>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r w:rsidRPr="005834A5">
              <w:rPr>
                <w:b/>
                <w:bCs/>
              </w:rPr>
              <w:t>Degré de priorité</w:t>
            </w:r>
          </w:p>
        </w:tc>
      </w:tr>
      <w:tr w:rsidR="0035184B" w:rsidRPr="005834A5" w:rsidTr="00B91360">
        <w:tc>
          <w:tcPr>
            <w:tcW w:w="192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A. Cadre stratégique</w:t>
            </w:r>
          </w:p>
        </w:tc>
        <w:tc>
          <w:tcPr>
            <w:tcW w:w="3648"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Donner des avis au Secrétariat et aux Centres régionaux de la Convention de Bâle sur les efforts nécessaires pour appuyer l’élaboration et la mise en œuvre du cadre stratégique.</w:t>
            </w:r>
          </w:p>
        </w:tc>
        <w:tc>
          <w:tcPr>
            <w:tcW w:w="156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BC-10/2</w:t>
            </w:r>
          </w:p>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p>
        </w:tc>
        <w:tc>
          <w:tcPr>
            <w:tcW w:w="120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Élevé</w:t>
            </w:r>
          </w:p>
        </w:tc>
      </w:tr>
      <w:tr w:rsidR="0035184B" w:rsidRPr="005834A5" w:rsidTr="00B91360">
        <w:trPr>
          <w:trHeight w:val="889"/>
        </w:trPr>
        <w:tc>
          <w:tcPr>
            <w:tcW w:w="192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B. Centres régionaux et Centres de coordination de la Convention de Bâle</w:t>
            </w:r>
          </w:p>
        </w:tc>
        <w:tc>
          <w:tcPr>
            <w:tcW w:w="3648"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Surveiller le renforcement des Centres régionaux et des Centres de coordination de la Convention de Bâle.</w:t>
            </w:r>
          </w:p>
        </w:tc>
        <w:tc>
          <w:tcPr>
            <w:tcW w:w="156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BC-10/4</w:t>
            </w:r>
          </w:p>
        </w:tc>
        <w:tc>
          <w:tcPr>
            <w:tcW w:w="120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Élevé</w:t>
            </w:r>
          </w:p>
        </w:tc>
      </w:tr>
      <w:tr w:rsidR="0035184B" w:rsidRPr="005834A5" w:rsidTr="00B91360">
        <w:trPr>
          <w:trHeight w:val="837"/>
        </w:trPr>
        <w:tc>
          <w:tcPr>
            <w:tcW w:w="1920" w:type="dxa"/>
            <w:vMerge w:val="restart"/>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rPr>
                <w:rFonts w:eastAsia="Batang"/>
                <w:lang w:eastAsia="ko-KR"/>
              </w:rPr>
            </w:pPr>
            <w:r w:rsidRPr="005834A5">
              <w:t>C. Programme de partenariats de la Convention de Bâle</w:t>
            </w:r>
          </w:p>
        </w:tc>
        <w:tc>
          <w:tcPr>
            <w:tcW w:w="3648"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1. Donner des orientations sur les travaux entrepris par le Secrétariat et par les Centres régionaux de la Convention de Bâle pour mettre en œuvre le Programme de partenariats de la Convention de Bâle.</w:t>
            </w:r>
          </w:p>
        </w:tc>
        <w:tc>
          <w:tcPr>
            <w:tcW w:w="156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BC-10/19</w:t>
            </w:r>
          </w:p>
        </w:tc>
        <w:tc>
          <w:tcPr>
            <w:tcW w:w="120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Moyen</w:t>
            </w:r>
          </w:p>
        </w:tc>
      </w:tr>
      <w:tr w:rsidR="0035184B" w:rsidRPr="005834A5" w:rsidTr="00B91360">
        <w:trPr>
          <w:trHeight w:val="425"/>
        </w:trPr>
        <w:tc>
          <w:tcPr>
            <w:tcW w:w="1920" w:type="dxa"/>
            <w:vMerge/>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p>
        </w:tc>
        <w:tc>
          <w:tcPr>
            <w:tcW w:w="3648"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rPr>
                <w:rFonts w:eastAsia="Batang"/>
                <w:lang w:eastAsia="ko-KR"/>
              </w:rPr>
              <w:t>2. Donner des orientations sur les activités du Partenariat pour une action sur les équipements informatiques.</w:t>
            </w:r>
          </w:p>
        </w:tc>
        <w:tc>
          <w:tcPr>
            <w:tcW w:w="156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BC-10/20</w:t>
            </w:r>
          </w:p>
        </w:tc>
        <w:tc>
          <w:tcPr>
            <w:tcW w:w="120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Élevé</w:t>
            </w:r>
          </w:p>
        </w:tc>
      </w:tr>
      <w:tr w:rsidR="0035184B" w:rsidRPr="005834A5" w:rsidTr="00B91360">
        <w:trPr>
          <w:trHeight w:val="425"/>
        </w:trPr>
        <w:tc>
          <w:tcPr>
            <w:tcW w:w="192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D. Cercle de Bâle pour la résolution des problèmes de déchets</w:t>
            </w:r>
          </w:p>
        </w:tc>
        <w:tc>
          <w:tcPr>
            <w:tcW w:w="3648"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rPr>
                <w:rFonts w:eastAsia="Batang"/>
                <w:lang w:eastAsia="ko-KR"/>
              </w:rPr>
            </w:pPr>
            <w:r w:rsidRPr="005834A5">
              <w:rPr>
                <w:rFonts w:eastAsia="Batang"/>
                <w:lang w:eastAsia="ko-KR"/>
              </w:rPr>
              <w:t>Donner des orientations au Secrétariat dans le développement et la mise en œuvre du Cercle de Bâle pour la résolution des problèmes de déchets.</w:t>
            </w:r>
          </w:p>
        </w:tc>
        <w:tc>
          <w:tcPr>
            <w:tcW w:w="156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BC-10/26</w:t>
            </w:r>
          </w:p>
        </w:tc>
        <w:tc>
          <w:tcPr>
            <w:tcW w:w="120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Moyen</w:t>
            </w:r>
          </w:p>
        </w:tc>
      </w:tr>
    </w:tbl>
    <w:p w:rsidR="0035184B" w:rsidRPr="005834A5" w:rsidRDefault="0035184B" w:rsidP="0035184B">
      <w:pPr>
        <w:tabs>
          <w:tab w:val="left" w:pos="624"/>
          <w:tab w:val="left" w:pos="1871"/>
          <w:tab w:val="left" w:pos="2495"/>
          <w:tab w:val="left" w:pos="3119"/>
          <w:tab w:val="left" w:pos="3742"/>
          <w:tab w:val="left" w:pos="4366"/>
          <w:tab w:val="left" w:pos="4990"/>
          <w:tab w:val="left" w:pos="5613"/>
        </w:tabs>
      </w:pPr>
    </w:p>
    <w:p w:rsidR="0035184B" w:rsidRPr="005834A5" w:rsidRDefault="0035184B" w:rsidP="0035184B">
      <w:pPr>
        <w:tabs>
          <w:tab w:val="left" w:pos="624"/>
          <w:tab w:val="left" w:pos="1871"/>
          <w:tab w:val="left" w:pos="2495"/>
          <w:tab w:val="left" w:pos="3119"/>
          <w:tab w:val="left" w:pos="3742"/>
          <w:tab w:val="left" w:pos="4366"/>
          <w:tab w:val="left" w:pos="4990"/>
          <w:tab w:val="left" w:pos="5613"/>
        </w:tabs>
      </w:pPr>
    </w:p>
    <w:tbl>
      <w:tblPr>
        <w:tblW w:w="0" w:type="auto"/>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0"/>
        <w:gridCol w:w="3648"/>
        <w:gridCol w:w="1560"/>
        <w:gridCol w:w="1200"/>
      </w:tblGrid>
      <w:tr w:rsidR="0035184B" w:rsidRPr="005834A5" w:rsidTr="00B91360">
        <w:trPr>
          <w:tblHeader/>
        </w:trPr>
        <w:tc>
          <w:tcPr>
            <w:tcW w:w="8328" w:type="dxa"/>
            <w:gridSpan w:val="4"/>
            <w:tcBorders>
              <w:top w:val="single" w:sz="4" w:space="0" w:color="auto"/>
              <w:left w:val="single" w:sz="4" w:space="0" w:color="auto"/>
              <w:bottom w:val="single" w:sz="4" w:space="0" w:color="auto"/>
              <w:right w:val="single" w:sz="4" w:space="0" w:color="auto"/>
            </w:tcBorders>
          </w:tcPr>
          <w:p w:rsidR="0035184B" w:rsidRPr="002937C7" w:rsidRDefault="0035184B" w:rsidP="00B91360">
            <w:pPr>
              <w:pStyle w:val="Heading5"/>
              <w:keepNext w:val="0"/>
              <w:tabs>
                <w:tab w:val="left" w:pos="624"/>
                <w:tab w:val="left" w:pos="1871"/>
                <w:tab w:val="left" w:pos="2495"/>
                <w:tab w:val="left" w:pos="3119"/>
                <w:tab w:val="left" w:pos="3742"/>
                <w:tab w:val="left" w:pos="4366"/>
                <w:tab w:val="left" w:pos="4990"/>
                <w:tab w:val="left" w:pos="5613"/>
              </w:tabs>
              <w:spacing w:before="120" w:after="120"/>
              <w:rPr>
                <w:rFonts w:eastAsia="Times New Roman"/>
                <w:i/>
                <w:iCs/>
                <w:sz w:val="20"/>
              </w:rPr>
            </w:pPr>
            <w:r w:rsidRPr="002937C7">
              <w:rPr>
                <w:rFonts w:ascii="Times New Roman" w:eastAsia="Times New Roman" w:hAnsi="Times New Roman"/>
                <w:i/>
                <w:sz w:val="20"/>
              </w:rPr>
              <w:lastRenderedPageBreak/>
              <w:t>II.</w:t>
            </w:r>
            <w:r w:rsidRPr="002937C7">
              <w:rPr>
                <w:rFonts w:ascii="Times New Roman" w:eastAsia="Times New Roman" w:hAnsi="Times New Roman"/>
                <w:i/>
                <w:sz w:val="20"/>
              </w:rPr>
              <w:tab/>
              <w:t>Questions scientifiques et techniques</w:t>
            </w:r>
          </w:p>
        </w:tc>
      </w:tr>
      <w:tr w:rsidR="0035184B" w:rsidRPr="005834A5" w:rsidTr="00B91360">
        <w:trPr>
          <w:tblHeader/>
        </w:trPr>
        <w:tc>
          <w:tcPr>
            <w:tcW w:w="1920" w:type="dxa"/>
            <w:tcBorders>
              <w:top w:val="single" w:sz="4" w:space="0" w:color="auto"/>
              <w:left w:val="single" w:sz="4" w:space="0" w:color="auto"/>
              <w:bottom w:val="single" w:sz="4" w:space="0" w:color="auto"/>
              <w:right w:val="single" w:sz="4" w:space="0" w:color="auto"/>
            </w:tcBorders>
            <w:vAlign w:val="center"/>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r w:rsidRPr="005834A5">
              <w:rPr>
                <w:b/>
                <w:bCs/>
              </w:rPr>
              <w:t>Questions</w:t>
            </w:r>
          </w:p>
        </w:tc>
        <w:tc>
          <w:tcPr>
            <w:tcW w:w="3648" w:type="dxa"/>
            <w:tcBorders>
              <w:top w:val="single" w:sz="4" w:space="0" w:color="auto"/>
              <w:left w:val="single" w:sz="4" w:space="0" w:color="auto"/>
              <w:bottom w:val="single" w:sz="4" w:space="0" w:color="auto"/>
              <w:right w:val="single" w:sz="4" w:space="0" w:color="auto"/>
            </w:tcBorders>
            <w:vAlign w:val="center"/>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r w:rsidRPr="005834A5">
              <w:rPr>
                <w:b/>
                <w:bCs/>
              </w:rPr>
              <w:t>Activités</w:t>
            </w:r>
          </w:p>
        </w:tc>
        <w:tc>
          <w:tcPr>
            <w:tcW w:w="1560" w:type="dxa"/>
            <w:tcBorders>
              <w:top w:val="single" w:sz="4" w:space="0" w:color="auto"/>
              <w:left w:val="single" w:sz="4" w:space="0" w:color="auto"/>
              <w:bottom w:val="single" w:sz="4" w:space="0" w:color="auto"/>
              <w:right w:val="single" w:sz="4" w:space="0" w:color="auto"/>
            </w:tcBorders>
            <w:vAlign w:val="center"/>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r w:rsidRPr="005834A5">
              <w:rPr>
                <w:b/>
                <w:bCs/>
              </w:rPr>
              <w:t>Décisions de la Conférence des Parties</w:t>
            </w:r>
          </w:p>
        </w:tc>
        <w:tc>
          <w:tcPr>
            <w:tcW w:w="1200" w:type="dxa"/>
            <w:tcBorders>
              <w:top w:val="single" w:sz="4" w:space="0" w:color="auto"/>
              <w:left w:val="single" w:sz="4" w:space="0" w:color="auto"/>
              <w:bottom w:val="single" w:sz="4" w:space="0" w:color="auto"/>
              <w:right w:val="single" w:sz="4" w:space="0" w:color="auto"/>
            </w:tcBorders>
            <w:vAlign w:val="center"/>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r w:rsidRPr="005834A5">
              <w:rPr>
                <w:b/>
                <w:bCs/>
              </w:rPr>
              <w:t>Degré de priorité</w:t>
            </w:r>
          </w:p>
        </w:tc>
      </w:tr>
      <w:tr w:rsidR="0035184B" w:rsidRPr="005834A5" w:rsidTr="00B91360">
        <w:trPr>
          <w:cantSplit/>
          <w:trHeight w:val="6306"/>
        </w:trPr>
        <w:tc>
          <w:tcPr>
            <w:tcW w:w="192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A. Suivi de l’initiative de l’Indonésie et de la Suisse pour améliorer l’efficacité de la Convention de Bâle</w:t>
            </w:r>
          </w:p>
        </w:tc>
        <w:tc>
          <w:tcPr>
            <w:tcW w:w="3648" w:type="dxa"/>
            <w:tcBorders>
              <w:top w:val="single" w:sz="4" w:space="0" w:color="auto"/>
              <w:left w:val="single" w:sz="4" w:space="0" w:color="auto"/>
              <w:bottom w:val="nil"/>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1. Donner des orientations au groupe d’experts technique dans l’élaboration d’un cadre pour favoriser la gestion écologiquement rationnelle des déchets dangereux et autres déchets.</w:t>
            </w:r>
          </w:p>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 xml:space="preserve">2. Préparer un projet d’orientations pour fournir aux autorités nationales, aux Centres régionaux et aux autres parties prenantes des avis cohérents sur l’interprétation de certains termes, en prenant en compte le rapport du Secrétariat et en s’appuyant sur les orientations actuelles et les exemples de bonnes pratiques présentés au paragraphe 4 de la section C de la décision BC-10/3. </w:t>
            </w:r>
          </w:p>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3. Donner des orientations au Secrétariat dans la préparation d’une étude visant à identifier les options pour s’attaquer aux problèmes posés par les produits usés et en fin de vie, qui incluraient des obligations de reprise et une clarification du concept « dons charitables ».</w:t>
            </w:r>
          </w:p>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(Note : les activités 2 et 3 sont transversales et, de ce fait, sont également mentionnées dans la section III du programme de travail.)</w:t>
            </w:r>
          </w:p>
        </w:tc>
        <w:tc>
          <w:tcPr>
            <w:tcW w:w="1560" w:type="dxa"/>
            <w:tcBorders>
              <w:top w:val="single" w:sz="4" w:space="0" w:color="auto"/>
              <w:left w:val="single" w:sz="4" w:space="0" w:color="auto"/>
              <w:bottom w:val="nil"/>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BC-10/3</w:t>
            </w:r>
          </w:p>
        </w:tc>
        <w:tc>
          <w:tcPr>
            <w:tcW w:w="1200" w:type="dxa"/>
            <w:tcBorders>
              <w:top w:val="single" w:sz="4" w:space="0" w:color="auto"/>
              <w:left w:val="single" w:sz="4" w:space="0" w:color="auto"/>
              <w:bottom w:val="nil"/>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1800"/>
            </w:pPr>
            <w:r w:rsidRPr="005834A5">
              <w:t>Élevé</w:t>
            </w:r>
            <w:r w:rsidRPr="005834A5">
              <w:br/>
            </w:r>
            <w:r w:rsidRPr="005834A5">
              <w:br/>
            </w:r>
            <w:r w:rsidRPr="005834A5">
              <w:br/>
            </w:r>
            <w:r w:rsidRPr="005834A5">
              <w:br/>
            </w:r>
            <w:r w:rsidRPr="005834A5">
              <w:br/>
              <w:t>Élevé</w:t>
            </w:r>
            <w:r w:rsidRPr="005834A5">
              <w:br/>
            </w:r>
            <w:r w:rsidRPr="005834A5">
              <w:br/>
            </w:r>
            <w:r w:rsidRPr="005834A5">
              <w:br/>
            </w:r>
            <w:r w:rsidRPr="005834A5">
              <w:br/>
            </w:r>
            <w:r w:rsidRPr="005834A5">
              <w:br/>
            </w:r>
            <w:r w:rsidRPr="005834A5">
              <w:br/>
            </w:r>
            <w:r w:rsidRPr="005834A5">
              <w:br/>
            </w:r>
            <w:r w:rsidRPr="005834A5">
              <w:br/>
            </w:r>
            <w:r w:rsidRPr="005834A5">
              <w:br/>
            </w:r>
            <w:r w:rsidRPr="005834A5">
              <w:br/>
            </w:r>
            <w:r w:rsidRPr="005834A5">
              <w:br/>
              <w:t>Élevé</w:t>
            </w:r>
          </w:p>
        </w:tc>
      </w:tr>
      <w:tr w:rsidR="0035184B" w:rsidRPr="005834A5" w:rsidTr="00B91360">
        <w:trPr>
          <w:cantSplit/>
          <w:trHeight w:val="578"/>
        </w:trPr>
        <w:tc>
          <w:tcPr>
            <w:tcW w:w="192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B. Directives techniques</w:t>
            </w:r>
          </w:p>
        </w:tc>
        <w:tc>
          <w:tcPr>
            <w:tcW w:w="3648"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1. Élaborer des directives techniques sur les mouvements transfrontières de déchets d’équipements électriques et électroniques, en particulier en ce qui concerne la distinction à établir entre déchets et non déchets.</w:t>
            </w:r>
          </w:p>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p>
        </w:tc>
        <w:tc>
          <w:tcPr>
            <w:tcW w:w="156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BC-10/5</w:t>
            </w:r>
          </w:p>
        </w:tc>
        <w:tc>
          <w:tcPr>
            <w:tcW w:w="120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Élevé</w:t>
            </w:r>
          </w:p>
        </w:tc>
      </w:tr>
      <w:tr w:rsidR="0035184B" w:rsidRPr="005834A5" w:rsidTr="00B91360">
        <w:trPr>
          <w:cantSplit/>
        </w:trPr>
        <w:tc>
          <w:tcPr>
            <w:tcW w:w="192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p>
        </w:tc>
        <w:tc>
          <w:tcPr>
            <w:tcW w:w="3648"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rPr>
                <w:rFonts w:eastAsia="Batang"/>
                <w:lang w:eastAsia="ko-KR"/>
              </w:rPr>
            </w:pPr>
            <w:r w:rsidRPr="005834A5">
              <w:t>2 a) Actualiser les directives techniques générales relatives à la gestion écologiquement rationnelle des polluants organiques persistants</w:t>
            </w:r>
            <w:r w:rsidRPr="005834A5">
              <w:rPr>
                <w:rFonts w:eastAsia="Batang"/>
                <w:lang w:eastAsia="ko-KR"/>
              </w:rPr>
              <w:t xml:space="preserve"> et préparer ou actualiser des directives techniques spécifiques sur dix nouveaux polluants organiques persistants.</w:t>
            </w:r>
          </w:p>
          <w:p w:rsidR="0035184B" w:rsidRPr="005834A5" w:rsidRDefault="0035184B" w:rsidP="00B91360">
            <w:pPr>
              <w:pStyle w:val="Decisionparagraphs"/>
              <w:keepNext w:val="0"/>
              <w:tabs>
                <w:tab w:val="left" w:pos="1871"/>
                <w:tab w:val="left" w:pos="2495"/>
                <w:tab w:val="left" w:pos="3119"/>
                <w:tab w:val="left" w:pos="3742"/>
                <w:tab w:val="left" w:pos="4366"/>
                <w:tab w:val="left" w:pos="4990"/>
                <w:tab w:val="left" w:pos="5613"/>
              </w:tabs>
              <w:ind w:left="60" w:hanging="60"/>
              <w:rPr>
                <w:lang w:val="fr-FR"/>
              </w:rPr>
            </w:pPr>
            <w:r w:rsidRPr="005834A5">
              <w:rPr>
                <w:rFonts w:eastAsia="Batang"/>
                <w:lang w:val="fr-FR" w:eastAsia="ko-KR"/>
              </w:rPr>
              <w:t xml:space="preserve">2 b) </w:t>
            </w:r>
            <w:r w:rsidRPr="005834A5">
              <w:rPr>
                <w:lang w:val="fr-FR"/>
              </w:rPr>
              <w:t xml:space="preserve">Déterminer les niveaux de destruction ou de transformation irréversible nécessaires lors de l’élimination des substances chimiques pour les débarrasser des caractéristiques des </w:t>
            </w:r>
            <w:smartTag w:uri="urn:schemas-microsoft-com:office:smarttags" w:element="stockticker">
              <w:r w:rsidRPr="005834A5">
                <w:rPr>
                  <w:lang w:val="fr-FR"/>
                </w:rPr>
                <w:t>POP</w:t>
              </w:r>
            </w:smartTag>
            <w:r w:rsidRPr="005834A5">
              <w:rPr>
                <w:lang w:val="fr-FR"/>
              </w:rPr>
              <w:t xml:space="preserve">. </w:t>
            </w:r>
          </w:p>
          <w:p w:rsidR="0035184B" w:rsidRPr="005834A5" w:rsidRDefault="0035184B" w:rsidP="00B91360">
            <w:pPr>
              <w:pStyle w:val="Decisionparagraphs"/>
              <w:keepNext w:val="0"/>
              <w:tabs>
                <w:tab w:val="left" w:pos="1871"/>
                <w:tab w:val="left" w:pos="2495"/>
                <w:tab w:val="left" w:pos="3119"/>
                <w:tab w:val="left" w:pos="3742"/>
                <w:tab w:val="left" w:pos="4366"/>
                <w:tab w:val="left" w:pos="4990"/>
                <w:tab w:val="left" w:pos="5613"/>
              </w:tabs>
              <w:ind w:left="60" w:hanging="60"/>
              <w:rPr>
                <w:lang w:val="fr-FR"/>
              </w:rPr>
            </w:pPr>
            <w:r w:rsidRPr="005834A5">
              <w:rPr>
                <w:lang w:val="fr-FR"/>
              </w:rPr>
              <w:t>2 c) Déterminer les méthodes procurant une élimination écologiquement rationnelle et déterminer, le cas échéant, des niveaux de concentration des substances chimiques aux fins de définition de la faible teneur en polluants organiques persistants mentionnée dans le paragraphe 1 d) ii) de l’article 6 de la Convention de Stockholm.</w:t>
            </w:r>
          </w:p>
          <w:p w:rsidR="0035184B" w:rsidRPr="005834A5" w:rsidRDefault="0035184B" w:rsidP="00B91360">
            <w:pPr>
              <w:pStyle w:val="Decisionparagraphs"/>
              <w:keepNext w:val="0"/>
              <w:tabs>
                <w:tab w:val="left" w:pos="1871"/>
                <w:tab w:val="left" w:pos="2495"/>
                <w:tab w:val="left" w:pos="3119"/>
                <w:tab w:val="left" w:pos="3742"/>
                <w:tab w:val="left" w:pos="4366"/>
                <w:tab w:val="left" w:pos="4990"/>
                <w:tab w:val="left" w:pos="5613"/>
              </w:tabs>
              <w:ind w:left="60" w:hanging="60"/>
              <w:rPr>
                <w:b/>
                <w:bCs/>
                <w:lang w:val="fr-FR"/>
              </w:rPr>
            </w:pPr>
            <w:r w:rsidRPr="005834A5">
              <w:rPr>
                <w:lang w:val="fr-FR"/>
              </w:rPr>
              <w:t xml:space="preserve">2 d) Examiner l’amendement à l’Annexe VIII de la Convention de Bâle tendant à inclure des niveaux de concentration pour les </w:t>
            </w:r>
            <w:proofErr w:type="spellStart"/>
            <w:r w:rsidRPr="005834A5">
              <w:rPr>
                <w:lang w:val="fr-FR"/>
              </w:rPr>
              <w:t>polychlorodibenzofuranes</w:t>
            </w:r>
            <w:proofErr w:type="spellEnd"/>
            <w:r w:rsidRPr="005834A5">
              <w:rPr>
                <w:lang w:val="fr-FR"/>
              </w:rPr>
              <w:t xml:space="preserve">, les </w:t>
            </w:r>
            <w:proofErr w:type="spellStart"/>
            <w:r w:rsidRPr="005834A5">
              <w:rPr>
                <w:lang w:val="fr-FR"/>
              </w:rPr>
              <w:t>polychlorodibenzodioxines</w:t>
            </w:r>
            <w:proofErr w:type="spellEnd"/>
            <w:r w:rsidRPr="005834A5">
              <w:rPr>
                <w:lang w:val="fr-FR"/>
              </w:rPr>
              <w:t xml:space="preserve"> (rubrique A4110), le DDT et d’autres polluants organiques persistants, après avoir élaboré un cadre approprié pour la détermination des concentrations de </w:t>
            </w:r>
            <w:proofErr w:type="spellStart"/>
            <w:r w:rsidRPr="005834A5">
              <w:rPr>
                <w:lang w:val="fr-FR"/>
              </w:rPr>
              <w:t>minimis</w:t>
            </w:r>
            <w:proofErr w:type="spellEnd"/>
            <w:r w:rsidRPr="005834A5">
              <w:rPr>
                <w:lang w:val="fr-FR"/>
              </w:rPr>
              <w:t>.</w:t>
            </w:r>
          </w:p>
        </w:tc>
        <w:tc>
          <w:tcPr>
            <w:tcW w:w="156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BC-10/9</w:t>
            </w:r>
          </w:p>
        </w:tc>
        <w:tc>
          <w:tcPr>
            <w:tcW w:w="120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960"/>
            </w:pPr>
            <w:r w:rsidRPr="005834A5">
              <w:t>Élevé</w:t>
            </w:r>
            <w:r w:rsidRPr="005834A5">
              <w:br/>
            </w:r>
            <w:r w:rsidRPr="005834A5">
              <w:br/>
            </w:r>
            <w:r w:rsidRPr="005834A5">
              <w:br/>
            </w:r>
            <w:r w:rsidRPr="005834A5">
              <w:br/>
            </w:r>
            <w:r w:rsidRPr="005834A5">
              <w:br/>
            </w:r>
            <w:r w:rsidRPr="005834A5">
              <w:br/>
            </w:r>
            <w:r w:rsidRPr="005834A5">
              <w:br/>
              <w:t>Élevé</w:t>
            </w:r>
            <w:r w:rsidRPr="005834A5">
              <w:br/>
            </w:r>
            <w:r w:rsidRPr="005834A5">
              <w:br/>
            </w:r>
            <w:r w:rsidRPr="005834A5">
              <w:br/>
            </w:r>
            <w:r w:rsidRPr="005834A5">
              <w:br/>
            </w:r>
            <w:r w:rsidRPr="005834A5">
              <w:br/>
            </w:r>
            <w:r w:rsidRPr="005834A5">
              <w:br/>
              <w:t>Élevé</w:t>
            </w:r>
            <w:r w:rsidRPr="005834A5">
              <w:br/>
            </w:r>
            <w:r w:rsidRPr="005834A5">
              <w:br/>
            </w:r>
            <w:r w:rsidRPr="005834A5">
              <w:br/>
            </w:r>
            <w:r w:rsidRPr="005834A5">
              <w:br/>
            </w:r>
            <w:r w:rsidRPr="005834A5">
              <w:br/>
            </w:r>
            <w:r w:rsidRPr="005834A5">
              <w:br/>
            </w:r>
            <w:r w:rsidRPr="005834A5">
              <w:br/>
            </w:r>
            <w:r w:rsidRPr="005834A5">
              <w:br/>
            </w:r>
            <w:r w:rsidRPr="005834A5">
              <w:br/>
              <w:t>Élevé</w:t>
            </w:r>
          </w:p>
        </w:tc>
      </w:tr>
      <w:tr w:rsidR="0035184B" w:rsidRPr="005834A5" w:rsidTr="00B91360">
        <w:trPr>
          <w:cantSplit/>
          <w:trHeight w:val="666"/>
        </w:trPr>
        <w:tc>
          <w:tcPr>
            <w:tcW w:w="1920" w:type="dxa"/>
            <w:vMerge w:val="restart"/>
            <w:tcBorders>
              <w:top w:val="single" w:sz="4" w:space="0" w:color="auto"/>
              <w:left w:val="single" w:sz="4" w:space="0" w:color="auto"/>
              <w:bottom w:val="single" w:sz="4" w:space="0" w:color="auto"/>
              <w:right w:val="single" w:sz="4" w:space="0" w:color="auto"/>
            </w:tcBorders>
          </w:tcPr>
          <w:p w:rsidR="0035184B" w:rsidRPr="005834A5" w:rsidRDefault="0035184B" w:rsidP="004C73B6">
            <w:pPr>
              <w:keepNext/>
              <w:keepLines/>
              <w:tabs>
                <w:tab w:val="left" w:pos="624"/>
                <w:tab w:val="left" w:pos="1871"/>
                <w:tab w:val="left" w:pos="2495"/>
                <w:tab w:val="left" w:pos="3119"/>
                <w:tab w:val="left" w:pos="3742"/>
                <w:tab w:val="left" w:pos="4366"/>
                <w:tab w:val="left" w:pos="4990"/>
                <w:tab w:val="left" w:pos="5613"/>
              </w:tabs>
              <w:spacing w:before="60" w:afterLines="60"/>
            </w:pPr>
            <w:r w:rsidRPr="005834A5">
              <w:t>C. Classification des déchets et caractérisation des risques</w:t>
            </w:r>
          </w:p>
        </w:tc>
        <w:tc>
          <w:tcPr>
            <w:tcW w:w="3648"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 xml:space="preserve">1. Étudier et examiner toute demande de modification et de correction des listes de déchets figurant aux Annexes VIII et IX. </w:t>
            </w:r>
          </w:p>
        </w:tc>
        <w:tc>
          <w:tcPr>
            <w:tcW w:w="156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VIII/15</w:t>
            </w:r>
          </w:p>
        </w:tc>
        <w:tc>
          <w:tcPr>
            <w:tcW w:w="1200" w:type="dxa"/>
            <w:tcBorders>
              <w:top w:val="single" w:sz="4" w:space="0" w:color="auto"/>
              <w:left w:val="single" w:sz="4" w:space="0" w:color="auto"/>
              <w:bottom w:val="single" w:sz="4" w:space="0" w:color="auto"/>
              <w:right w:val="single" w:sz="4" w:space="0" w:color="auto"/>
            </w:tcBorders>
          </w:tcPr>
          <w:p w:rsidR="0035184B" w:rsidRPr="005834A5" w:rsidRDefault="0035184B" w:rsidP="004C73B6">
            <w:pPr>
              <w:keepNext/>
              <w:keepLines/>
              <w:tabs>
                <w:tab w:val="left" w:pos="624"/>
                <w:tab w:val="left" w:pos="1871"/>
                <w:tab w:val="left" w:pos="2495"/>
                <w:tab w:val="left" w:pos="3119"/>
                <w:tab w:val="left" w:pos="3742"/>
                <w:tab w:val="left" w:pos="4366"/>
                <w:tab w:val="left" w:pos="4990"/>
                <w:tab w:val="left" w:pos="5613"/>
              </w:tabs>
              <w:spacing w:before="60" w:afterLines="60"/>
            </w:pPr>
            <w:r w:rsidRPr="005834A5">
              <w:t>Moyen</w:t>
            </w:r>
          </w:p>
        </w:tc>
      </w:tr>
      <w:tr w:rsidR="0035184B" w:rsidRPr="005834A5" w:rsidTr="00B91360">
        <w:trPr>
          <w:cantSplit/>
          <w:trHeight w:val="92"/>
        </w:trPr>
        <w:tc>
          <w:tcPr>
            <w:tcW w:w="1920" w:type="dxa"/>
            <w:vMerge/>
            <w:tcBorders>
              <w:top w:val="single" w:sz="4" w:space="0" w:color="auto"/>
              <w:left w:val="single" w:sz="4" w:space="0" w:color="auto"/>
              <w:bottom w:val="single" w:sz="4" w:space="0" w:color="auto"/>
              <w:right w:val="single" w:sz="4" w:space="0" w:color="auto"/>
            </w:tcBorders>
          </w:tcPr>
          <w:p w:rsidR="0035184B" w:rsidRPr="005834A5" w:rsidRDefault="0035184B" w:rsidP="004C73B6">
            <w:pPr>
              <w:keepNext/>
              <w:keepLines/>
              <w:tabs>
                <w:tab w:val="left" w:pos="624"/>
                <w:tab w:val="left" w:pos="1871"/>
                <w:tab w:val="left" w:pos="2495"/>
                <w:tab w:val="left" w:pos="3119"/>
                <w:tab w:val="left" w:pos="3742"/>
                <w:tab w:val="left" w:pos="4366"/>
                <w:tab w:val="left" w:pos="4990"/>
                <w:tab w:val="left" w:pos="5613"/>
              </w:tabs>
              <w:spacing w:before="60" w:afterLines="60"/>
            </w:pPr>
          </w:p>
        </w:tc>
        <w:tc>
          <w:tcPr>
            <w:tcW w:w="3648"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2. Envisager de modifier les entrées concernant les polluants organiques persistants.</w:t>
            </w:r>
          </w:p>
        </w:tc>
        <w:tc>
          <w:tcPr>
            <w:tcW w:w="156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BC-10/9</w:t>
            </w:r>
          </w:p>
        </w:tc>
        <w:tc>
          <w:tcPr>
            <w:tcW w:w="120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Moyen</w:t>
            </w:r>
          </w:p>
        </w:tc>
      </w:tr>
      <w:tr w:rsidR="0035184B" w:rsidRPr="005834A5" w:rsidTr="00B91360">
        <w:trPr>
          <w:cantSplit/>
          <w:trHeight w:val="889"/>
        </w:trPr>
        <w:tc>
          <w:tcPr>
            <w:tcW w:w="1920" w:type="dxa"/>
            <w:vMerge/>
            <w:tcBorders>
              <w:top w:val="single" w:sz="4" w:space="0" w:color="auto"/>
              <w:left w:val="single" w:sz="4" w:space="0" w:color="auto"/>
              <w:bottom w:val="single" w:sz="4" w:space="0" w:color="auto"/>
              <w:right w:val="single" w:sz="4" w:space="0" w:color="auto"/>
            </w:tcBorders>
          </w:tcPr>
          <w:p w:rsidR="0035184B" w:rsidRPr="005834A5" w:rsidRDefault="0035184B" w:rsidP="004C73B6">
            <w:pPr>
              <w:tabs>
                <w:tab w:val="left" w:pos="624"/>
                <w:tab w:val="left" w:pos="1871"/>
                <w:tab w:val="left" w:pos="2495"/>
                <w:tab w:val="left" w:pos="3119"/>
                <w:tab w:val="left" w:pos="3742"/>
                <w:tab w:val="left" w:pos="4366"/>
                <w:tab w:val="left" w:pos="4990"/>
                <w:tab w:val="left" w:pos="5613"/>
              </w:tabs>
              <w:spacing w:before="60" w:afterLines="60"/>
            </w:pPr>
          </w:p>
        </w:tc>
        <w:tc>
          <w:tcPr>
            <w:tcW w:w="3648"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3. Donner des avis sur l’identification des déchets visés par le Système harmonisé de désignation et de codification des marchandises de l’Organisation mondiale des douanes ainsi que des questions connexes.</w:t>
            </w:r>
          </w:p>
        </w:tc>
        <w:tc>
          <w:tcPr>
            <w:tcW w:w="1560" w:type="dxa"/>
            <w:tcBorders>
              <w:top w:val="single" w:sz="4" w:space="0" w:color="auto"/>
              <w:left w:val="single" w:sz="4" w:space="0" w:color="auto"/>
              <w:bottom w:val="single" w:sz="4" w:space="0" w:color="auto"/>
              <w:right w:val="single" w:sz="4" w:space="0" w:color="auto"/>
            </w:tcBorders>
          </w:tcPr>
          <w:p w:rsidR="0035184B" w:rsidRPr="005834A5" w:rsidRDefault="0035184B" w:rsidP="004C73B6">
            <w:pPr>
              <w:tabs>
                <w:tab w:val="left" w:pos="624"/>
                <w:tab w:val="left" w:pos="1871"/>
                <w:tab w:val="left" w:pos="2495"/>
                <w:tab w:val="left" w:pos="3119"/>
                <w:tab w:val="left" w:pos="3742"/>
                <w:tab w:val="left" w:pos="4366"/>
                <w:tab w:val="left" w:pos="4990"/>
                <w:tab w:val="left" w:pos="5613"/>
              </w:tabs>
              <w:spacing w:before="60" w:afterLines="60"/>
            </w:pPr>
            <w:r w:rsidRPr="005834A5">
              <w:t>BC-10/10</w:t>
            </w:r>
          </w:p>
        </w:tc>
        <w:tc>
          <w:tcPr>
            <w:tcW w:w="1200" w:type="dxa"/>
            <w:tcBorders>
              <w:top w:val="single" w:sz="4" w:space="0" w:color="auto"/>
              <w:left w:val="single" w:sz="4" w:space="0" w:color="auto"/>
              <w:bottom w:val="single" w:sz="4" w:space="0" w:color="auto"/>
              <w:right w:val="single" w:sz="4" w:space="0" w:color="auto"/>
            </w:tcBorders>
          </w:tcPr>
          <w:p w:rsidR="0035184B" w:rsidRPr="005834A5" w:rsidRDefault="0035184B" w:rsidP="004C73B6">
            <w:pPr>
              <w:tabs>
                <w:tab w:val="left" w:pos="624"/>
                <w:tab w:val="left" w:pos="1871"/>
                <w:tab w:val="left" w:pos="2495"/>
                <w:tab w:val="left" w:pos="3119"/>
                <w:tab w:val="left" w:pos="3742"/>
                <w:tab w:val="left" w:pos="4366"/>
                <w:tab w:val="left" w:pos="4990"/>
                <w:tab w:val="left" w:pos="5613"/>
              </w:tabs>
              <w:spacing w:before="60" w:afterLines="60"/>
            </w:pPr>
            <w:r w:rsidRPr="005834A5">
              <w:t>Moyen</w:t>
            </w:r>
          </w:p>
        </w:tc>
      </w:tr>
    </w:tbl>
    <w:p w:rsidR="0035184B" w:rsidRPr="005834A5" w:rsidRDefault="0035184B" w:rsidP="0035184B">
      <w:pPr>
        <w:tabs>
          <w:tab w:val="left" w:pos="624"/>
          <w:tab w:val="left" w:pos="1871"/>
          <w:tab w:val="left" w:pos="2495"/>
          <w:tab w:val="left" w:pos="3119"/>
          <w:tab w:val="left" w:pos="3742"/>
          <w:tab w:val="left" w:pos="4366"/>
          <w:tab w:val="left" w:pos="4990"/>
          <w:tab w:val="left" w:pos="5613"/>
        </w:tabs>
      </w:pPr>
    </w:p>
    <w:p w:rsidR="0035184B" w:rsidRPr="005834A5" w:rsidRDefault="0035184B" w:rsidP="0035184B">
      <w:pPr>
        <w:tabs>
          <w:tab w:val="left" w:pos="624"/>
          <w:tab w:val="left" w:pos="1871"/>
          <w:tab w:val="left" w:pos="2495"/>
          <w:tab w:val="left" w:pos="3119"/>
          <w:tab w:val="left" w:pos="3742"/>
          <w:tab w:val="left" w:pos="4366"/>
          <w:tab w:val="left" w:pos="4990"/>
          <w:tab w:val="left" w:pos="5613"/>
        </w:tabs>
      </w:pPr>
      <w:r w:rsidRPr="005834A5">
        <w:br w:type="page"/>
      </w:r>
    </w:p>
    <w:tbl>
      <w:tblPr>
        <w:tblW w:w="8274" w:type="dxa"/>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0"/>
        <w:gridCol w:w="3648"/>
        <w:gridCol w:w="1560"/>
        <w:gridCol w:w="1146"/>
      </w:tblGrid>
      <w:tr w:rsidR="0035184B" w:rsidRPr="005834A5" w:rsidTr="00B91360">
        <w:trPr>
          <w:tblHeader/>
        </w:trPr>
        <w:tc>
          <w:tcPr>
            <w:tcW w:w="8274" w:type="dxa"/>
            <w:gridSpan w:val="4"/>
          </w:tcPr>
          <w:p w:rsidR="0035184B" w:rsidRPr="002937C7" w:rsidRDefault="0035184B" w:rsidP="00B91360">
            <w:pPr>
              <w:pStyle w:val="Heading5"/>
              <w:keepNext w:val="0"/>
              <w:tabs>
                <w:tab w:val="left" w:pos="624"/>
                <w:tab w:val="left" w:pos="1871"/>
                <w:tab w:val="left" w:pos="2495"/>
                <w:tab w:val="left" w:pos="3119"/>
                <w:tab w:val="left" w:pos="3742"/>
                <w:tab w:val="left" w:pos="4366"/>
                <w:tab w:val="left" w:pos="4990"/>
                <w:tab w:val="left" w:pos="5613"/>
              </w:tabs>
              <w:spacing w:before="120" w:after="120"/>
              <w:rPr>
                <w:rFonts w:eastAsia="Times New Roman"/>
                <w:i/>
                <w:iCs/>
                <w:sz w:val="20"/>
              </w:rPr>
            </w:pPr>
            <w:r w:rsidRPr="002937C7">
              <w:rPr>
                <w:rFonts w:ascii="Times New Roman" w:eastAsia="Times New Roman" w:hAnsi="Times New Roman"/>
                <w:i/>
                <w:sz w:val="20"/>
              </w:rPr>
              <w:lastRenderedPageBreak/>
              <w:t xml:space="preserve">III. </w:t>
            </w:r>
            <w:r w:rsidRPr="002937C7">
              <w:rPr>
                <w:rFonts w:ascii="Times New Roman" w:eastAsia="Times New Roman" w:hAnsi="Times New Roman"/>
                <w:i/>
                <w:sz w:val="20"/>
              </w:rPr>
              <w:tab/>
              <w:t xml:space="preserve">Questions juridiques, questions de gouvernance et questions relatives </w:t>
            </w:r>
            <w:r w:rsidRPr="002937C7">
              <w:rPr>
                <w:rFonts w:ascii="Times New Roman" w:eastAsia="Times New Roman" w:hAnsi="Times New Roman"/>
                <w:i/>
                <w:sz w:val="20"/>
              </w:rPr>
              <w:br/>
              <w:t>à l’application effective</w:t>
            </w:r>
          </w:p>
        </w:tc>
      </w:tr>
      <w:tr w:rsidR="0035184B" w:rsidRPr="005834A5" w:rsidTr="00B91360">
        <w:trPr>
          <w:tblHeader/>
        </w:trPr>
        <w:tc>
          <w:tcPr>
            <w:tcW w:w="1920" w:type="dxa"/>
            <w:vAlign w:val="center"/>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r w:rsidRPr="005834A5">
              <w:rPr>
                <w:b/>
                <w:bCs/>
              </w:rPr>
              <w:t>Questions</w:t>
            </w:r>
          </w:p>
        </w:tc>
        <w:tc>
          <w:tcPr>
            <w:tcW w:w="3648" w:type="dxa"/>
            <w:vAlign w:val="center"/>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r w:rsidRPr="005834A5">
              <w:rPr>
                <w:b/>
                <w:bCs/>
              </w:rPr>
              <w:t>Activités</w:t>
            </w:r>
          </w:p>
        </w:tc>
        <w:tc>
          <w:tcPr>
            <w:tcW w:w="1560" w:type="dxa"/>
            <w:vAlign w:val="center"/>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r w:rsidRPr="005834A5">
              <w:rPr>
                <w:b/>
                <w:bCs/>
              </w:rPr>
              <w:t>Décisions de la Conférence des Parties</w:t>
            </w:r>
          </w:p>
        </w:tc>
        <w:tc>
          <w:tcPr>
            <w:tcW w:w="1146" w:type="dxa"/>
            <w:vAlign w:val="center"/>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r w:rsidRPr="005834A5">
              <w:rPr>
                <w:b/>
                <w:bCs/>
              </w:rPr>
              <w:t>Degré de priorité</w:t>
            </w:r>
          </w:p>
        </w:tc>
      </w:tr>
      <w:tr w:rsidR="0035184B" w:rsidRPr="005834A5" w:rsidTr="00B91360">
        <w:trPr>
          <w:cantSplit/>
        </w:trPr>
        <w:tc>
          <w:tcPr>
            <w:tcW w:w="1920" w:type="dxa"/>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A. Suivi de l’initiative de l’Indonésie et de la Suisse pour améliorer l’efficacité de la Convention de Bâle</w:t>
            </w:r>
          </w:p>
        </w:tc>
        <w:tc>
          <w:tcPr>
            <w:tcW w:w="3648" w:type="dxa"/>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1. Élaborer un projet d’orientations afin de procurer aux autorités nationales, aux Centres régionaux et à toutes les autres parties prenantes un avis cohérent sur l’interprétation de certains termes, en prenant en compte le rapport du Secrétariat et en s’appuyant sur les orientations existantes et sur des exemples de bonnes pratiques tel que précisé au paragraphe 4 de la section C de la décision BC-10/3.</w:t>
            </w:r>
          </w:p>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pPr>
            <w:r w:rsidRPr="005834A5">
              <w:t>2. Fournir des orientations au Secrétariat dans la préparation d’une étude visant à identifier les options possibles pour s’attaquer aux problèmes posés par les produits usagés et en fin de vie, qui incluraient des obligations de reprise et une clarification du concept « dons charitables ».</w:t>
            </w:r>
          </w:p>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pPr>
            <w:r w:rsidRPr="005834A5">
              <w:t>(Note : les activités 1 et 2 sont transversales et sont, de ce fait, également mentionnées dans la section II du programme de travail.)</w:t>
            </w:r>
          </w:p>
        </w:tc>
        <w:tc>
          <w:tcPr>
            <w:tcW w:w="1560" w:type="dxa"/>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BC-10/3</w:t>
            </w:r>
          </w:p>
        </w:tc>
        <w:tc>
          <w:tcPr>
            <w:tcW w:w="1146" w:type="dxa"/>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1800"/>
            </w:pPr>
            <w:r w:rsidRPr="005834A5">
              <w:t>Élevé</w:t>
            </w:r>
            <w:r w:rsidRPr="005834A5">
              <w:br/>
            </w:r>
            <w:r w:rsidRPr="005834A5">
              <w:br/>
            </w:r>
            <w:r w:rsidRPr="005834A5">
              <w:br/>
            </w:r>
            <w:r w:rsidRPr="005834A5">
              <w:br/>
            </w:r>
            <w:r w:rsidRPr="005834A5">
              <w:br/>
            </w:r>
            <w:r w:rsidRPr="005834A5">
              <w:br/>
            </w:r>
            <w:r w:rsidRPr="005834A5">
              <w:br/>
            </w:r>
            <w:r w:rsidRPr="005834A5">
              <w:br/>
            </w:r>
            <w:r w:rsidRPr="005834A5">
              <w:br/>
            </w:r>
            <w:r w:rsidRPr="005834A5">
              <w:br/>
            </w:r>
            <w:r w:rsidRPr="005834A5">
              <w:br/>
              <w:t>Élevé</w:t>
            </w:r>
          </w:p>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p>
        </w:tc>
      </w:tr>
    </w:tbl>
    <w:p w:rsidR="0035184B" w:rsidRPr="005834A5" w:rsidRDefault="0035184B" w:rsidP="0035184B">
      <w:pPr>
        <w:tabs>
          <w:tab w:val="left" w:pos="624"/>
          <w:tab w:val="left" w:pos="1871"/>
          <w:tab w:val="left" w:pos="2495"/>
          <w:tab w:val="left" w:pos="3119"/>
          <w:tab w:val="left" w:pos="3742"/>
          <w:tab w:val="left" w:pos="4366"/>
          <w:tab w:val="left" w:pos="4990"/>
          <w:tab w:val="left" w:pos="5613"/>
        </w:tabs>
      </w:pPr>
    </w:p>
    <w:tbl>
      <w:tblPr>
        <w:tblW w:w="8274" w:type="dxa"/>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0"/>
        <w:gridCol w:w="3714"/>
        <w:gridCol w:w="1440"/>
        <w:gridCol w:w="1200"/>
      </w:tblGrid>
      <w:tr w:rsidR="0035184B" w:rsidRPr="005834A5" w:rsidTr="00B91360">
        <w:trPr>
          <w:cantSplit/>
        </w:trPr>
        <w:tc>
          <w:tcPr>
            <w:tcW w:w="8274" w:type="dxa"/>
            <w:gridSpan w:val="4"/>
            <w:tcBorders>
              <w:top w:val="single" w:sz="4" w:space="0" w:color="auto"/>
              <w:left w:val="single" w:sz="4" w:space="0" w:color="auto"/>
              <w:bottom w:val="single" w:sz="4" w:space="0" w:color="auto"/>
              <w:right w:val="single" w:sz="4" w:space="0" w:color="auto"/>
            </w:tcBorders>
          </w:tcPr>
          <w:p w:rsidR="0035184B" w:rsidRPr="002937C7" w:rsidRDefault="0035184B" w:rsidP="00B91360">
            <w:pPr>
              <w:pStyle w:val="Heading5"/>
              <w:keepNext w:val="0"/>
              <w:tabs>
                <w:tab w:val="left" w:pos="624"/>
                <w:tab w:val="left" w:pos="1871"/>
                <w:tab w:val="left" w:pos="2495"/>
                <w:tab w:val="left" w:pos="3119"/>
                <w:tab w:val="left" w:pos="3742"/>
                <w:tab w:val="left" w:pos="4366"/>
                <w:tab w:val="left" w:pos="4990"/>
                <w:tab w:val="left" w:pos="5613"/>
              </w:tabs>
              <w:spacing w:before="120" w:after="120"/>
              <w:rPr>
                <w:rFonts w:eastAsia="Times New Roman"/>
                <w:i/>
                <w:iCs/>
                <w:sz w:val="20"/>
              </w:rPr>
            </w:pPr>
            <w:r w:rsidRPr="002937C7">
              <w:rPr>
                <w:rFonts w:ascii="Times New Roman" w:eastAsia="Times New Roman" w:hAnsi="Times New Roman"/>
                <w:i/>
                <w:sz w:val="20"/>
              </w:rPr>
              <w:t xml:space="preserve">IV. </w:t>
            </w:r>
            <w:r w:rsidRPr="002937C7">
              <w:rPr>
                <w:rFonts w:ascii="Times New Roman" w:eastAsia="Times New Roman" w:hAnsi="Times New Roman"/>
                <w:i/>
                <w:sz w:val="20"/>
              </w:rPr>
              <w:tab/>
              <w:t>Mobilisation des ressources et financement durable</w:t>
            </w:r>
          </w:p>
        </w:tc>
      </w:tr>
      <w:tr w:rsidR="0035184B" w:rsidRPr="005834A5" w:rsidTr="00B91360">
        <w:tc>
          <w:tcPr>
            <w:tcW w:w="1920" w:type="dxa"/>
            <w:tcBorders>
              <w:top w:val="single" w:sz="4" w:space="0" w:color="auto"/>
              <w:left w:val="single" w:sz="4" w:space="0" w:color="auto"/>
              <w:bottom w:val="single" w:sz="4" w:space="0" w:color="auto"/>
              <w:right w:val="single" w:sz="4" w:space="0" w:color="auto"/>
            </w:tcBorders>
            <w:vAlign w:val="center"/>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r w:rsidRPr="005834A5">
              <w:rPr>
                <w:b/>
                <w:bCs/>
              </w:rPr>
              <w:t>Questions</w:t>
            </w:r>
          </w:p>
        </w:tc>
        <w:tc>
          <w:tcPr>
            <w:tcW w:w="3714" w:type="dxa"/>
            <w:tcBorders>
              <w:top w:val="single" w:sz="4" w:space="0" w:color="auto"/>
              <w:left w:val="single" w:sz="4" w:space="0" w:color="auto"/>
              <w:bottom w:val="single" w:sz="4" w:space="0" w:color="auto"/>
              <w:right w:val="single" w:sz="4" w:space="0" w:color="auto"/>
            </w:tcBorders>
            <w:vAlign w:val="center"/>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r w:rsidRPr="005834A5">
              <w:rPr>
                <w:b/>
                <w:bCs/>
              </w:rPr>
              <w:t>Activités</w:t>
            </w:r>
          </w:p>
        </w:tc>
        <w:tc>
          <w:tcPr>
            <w:tcW w:w="1440" w:type="dxa"/>
            <w:tcBorders>
              <w:top w:val="single" w:sz="4" w:space="0" w:color="auto"/>
              <w:left w:val="single" w:sz="4" w:space="0" w:color="auto"/>
              <w:bottom w:val="single" w:sz="4" w:space="0" w:color="auto"/>
              <w:right w:val="single" w:sz="4" w:space="0" w:color="auto"/>
            </w:tcBorders>
            <w:vAlign w:val="center"/>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r w:rsidRPr="005834A5">
              <w:rPr>
                <w:b/>
                <w:bCs/>
              </w:rPr>
              <w:t>Décisions de la Conférence des Parties</w:t>
            </w:r>
          </w:p>
        </w:tc>
        <w:tc>
          <w:tcPr>
            <w:tcW w:w="1200" w:type="dxa"/>
            <w:tcBorders>
              <w:top w:val="single" w:sz="4" w:space="0" w:color="auto"/>
              <w:left w:val="single" w:sz="4" w:space="0" w:color="auto"/>
              <w:bottom w:val="single" w:sz="4" w:space="0" w:color="auto"/>
              <w:right w:val="single" w:sz="4" w:space="0" w:color="auto"/>
            </w:tcBorders>
            <w:vAlign w:val="center"/>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r w:rsidRPr="005834A5">
              <w:rPr>
                <w:b/>
                <w:bCs/>
              </w:rPr>
              <w:t>Degré de priorité</w:t>
            </w:r>
          </w:p>
        </w:tc>
      </w:tr>
      <w:tr w:rsidR="0035184B" w:rsidRPr="005834A5" w:rsidTr="00B91360">
        <w:trPr>
          <w:trHeight w:val="609"/>
        </w:trPr>
        <w:tc>
          <w:tcPr>
            <w:tcW w:w="192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Mobilisation de ressources et financement durable</w:t>
            </w:r>
          </w:p>
        </w:tc>
        <w:tc>
          <w:tcPr>
            <w:tcW w:w="3714"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 xml:space="preserve">Fournir des orientations au secrétariat en vue d’améliorer la mobilisation des ressources et les contributions financières au titre de la mise en œuvre de la Convention de Bâle. </w:t>
            </w:r>
          </w:p>
        </w:tc>
        <w:tc>
          <w:tcPr>
            <w:tcW w:w="144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 xml:space="preserve">VIII/34 </w:t>
            </w:r>
          </w:p>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p>
        </w:tc>
        <w:tc>
          <w:tcPr>
            <w:tcW w:w="120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Élevé</w:t>
            </w:r>
          </w:p>
        </w:tc>
      </w:tr>
    </w:tbl>
    <w:p w:rsidR="0035184B" w:rsidRPr="005834A5" w:rsidRDefault="0035184B" w:rsidP="0035184B">
      <w:pPr>
        <w:tabs>
          <w:tab w:val="left" w:pos="624"/>
          <w:tab w:val="left" w:pos="1871"/>
          <w:tab w:val="left" w:pos="2495"/>
          <w:tab w:val="left" w:pos="3119"/>
          <w:tab w:val="left" w:pos="3742"/>
          <w:tab w:val="left" w:pos="4366"/>
          <w:tab w:val="left" w:pos="4990"/>
          <w:tab w:val="left" w:pos="5613"/>
        </w:tabs>
      </w:pPr>
    </w:p>
    <w:p w:rsidR="0035184B" w:rsidRPr="005834A5" w:rsidRDefault="0035184B" w:rsidP="0035184B">
      <w:pPr>
        <w:tabs>
          <w:tab w:val="left" w:pos="624"/>
          <w:tab w:val="left" w:pos="1871"/>
          <w:tab w:val="left" w:pos="2495"/>
          <w:tab w:val="left" w:pos="3119"/>
          <w:tab w:val="left" w:pos="3742"/>
          <w:tab w:val="left" w:pos="4366"/>
          <w:tab w:val="left" w:pos="4990"/>
          <w:tab w:val="left" w:pos="5613"/>
        </w:tabs>
      </w:pPr>
      <w:r w:rsidRPr="005834A5">
        <w:br w:type="page"/>
      </w:r>
    </w:p>
    <w:tbl>
      <w:tblPr>
        <w:tblW w:w="8208" w:type="dxa"/>
        <w:tblInd w:w="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07"/>
        <w:gridCol w:w="3661"/>
        <w:gridCol w:w="1560"/>
        <w:gridCol w:w="1080"/>
      </w:tblGrid>
      <w:tr w:rsidR="0035184B" w:rsidRPr="005834A5" w:rsidTr="00B91360">
        <w:trPr>
          <w:cantSplit/>
        </w:trPr>
        <w:tc>
          <w:tcPr>
            <w:tcW w:w="8208" w:type="dxa"/>
            <w:gridSpan w:val="4"/>
            <w:tcBorders>
              <w:top w:val="single" w:sz="4" w:space="0" w:color="auto"/>
              <w:left w:val="single" w:sz="4" w:space="0" w:color="auto"/>
              <w:bottom w:val="single" w:sz="4" w:space="0" w:color="auto"/>
              <w:right w:val="single" w:sz="4" w:space="0" w:color="auto"/>
            </w:tcBorders>
          </w:tcPr>
          <w:p w:rsidR="0035184B" w:rsidRPr="002937C7" w:rsidRDefault="0035184B" w:rsidP="00B91360">
            <w:pPr>
              <w:pStyle w:val="Heading5"/>
              <w:keepNext w:val="0"/>
              <w:tabs>
                <w:tab w:val="left" w:pos="624"/>
                <w:tab w:val="left" w:pos="1871"/>
                <w:tab w:val="left" w:pos="2495"/>
                <w:tab w:val="left" w:pos="3119"/>
                <w:tab w:val="left" w:pos="3742"/>
                <w:tab w:val="left" w:pos="4366"/>
                <w:tab w:val="left" w:pos="4990"/>
                <w:tab w:val="left" w:pos="5613"/>
              </w:tabs>
              <w:spacing w:before="120" w:after="120"/>
              <w:rPr>
                <w:rFonts w:eastAsia="Times New Roman"/>
                <w:i/>
                <w:sz w:val="20"/>
              </w:rPr>
            </w:pPr>
            <w:r w:rsidRPr="002937C7">
              <w:rPr>
                <w:rFonts w:ascii="Times New Roman" w:eastAsia="Times New Roman" w:hAnsi="Times New Roman"/>
                <w:i/>
                <w:sz w:val="20"/>
              </w:rPr>
              <w:lastRenderedPageBreak/>
              <w:t>V.</w:t>
            </w:r>
            <w:r w:rsidRPr="002937C7">
              <w:rPr>
                <w:rFonts w:ascii="Times New Roman" w:eastAsia="Times New Roman" w:hAnsi="Times New Roman"/>
                <w:i/>
                <w:sz w:val="20"/>
              </w:rPr>
              <w:tab/>
              <w:t>Coopération et coordination internationales</w:t>
            </w:r>
          </w:p>
        </w:tc>
      </w:tr>
      <w:tr w:rsidR="0035184B" w:rsidRPr="005834A5" w:rsidTr="00B91360">
        <w:tc>
          <w:tcPr>
            <w:tcW w:w="1907" w:type="dxa"/>
            <w:tcBorders>
              <w:top w:val="single" w:sz="4" w:space="0" w:color="auto"/>
              <w:left w:val="single" w:sz="4" w:space="0" w:color="auto"/>
              <w:bottom w:val="single" w:sz="4" w:space="0" w:color="auto"/>
              <w:right w:val="single" w:sz="4" w:space="0" w:color="auto"/>
            </w:tcBorders>
            <w:vAlign w:val="center"/>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jc w:val="center"/>
              <w:rPr>
                <w:b/>
                <w:bCs/>
              </w:rPr>
            </w:pPr>
            <w:r w:rsidRPr="005834A5">
              <w:rPr>
                <w:b/>
                <w:bCs/>
              </w:rPr>
              <w:t>Questions</w:t>
            </w:r>
          </w:p>
        </w:tc>
        <w:tc>
          <w:tcPr>
            <w:tcW w:w="3661" w:type="dxa"/>
            <w:tcBorders>
              <w:top w:val="single" w:sz="4" w:space="0" w:color="auto"/>
              <w:left w:val="single" w:sz="4" w:space="0" w:color="auto"/>
              <w:bottom w:val="single" w:sz="4" w:space="0" w:color="auto"/>
              <w:right w:val="single" w:sz="4" w:space="0" w:color="auto"/>
            </w:tcBorders>
            <w:vAlign w:val="center"/>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jc w:val="center"/>
              <w:rPr>
                <w:b/>
                <w:bCs/>
              </w:rPr>
            </w:pPr>
            <w:r w:rsidRPr="005834A5">
              <w:rPr>
                <w:b/>
                <w:bCs/>
              </w:rPr>
              <w:t>Activités</w:t>
            </w:r>
          </w:p>
        </w:tc>
        <w:tc>
          <w:tcPr>
            <w:tcW w:w="1560" w:type="dxa"/>
            <w:tcBorders>
              <w:top w:val="single" w:sz="4" w:space="0" w:color="auto"/>
              <w:left w:val="single" w:sz="4" w:space="0" w:color="auto"/>
              <w:bottom w:val="single" w:sz="4" w:space="0" w:color="auto"/>
              <w:right w:val="single" w:sz="4" w:space="0" w:color="auto"/>
            </w:tcBorders>
            <w:vAlign w:val="center"/>
          </w:tcPr>
          <w:p w:rsidR="0035184B" w:rsidRPr="005834A5" w:rsidRDefault="0035184B" w:rsidP="00B91360">
            <w:pPr>
              <w:keepNext/>
              <w:keepLines/>
              <w:tabs>
                <w:tab w:val="left" w:pos="263"/>
                <w:tab w:val="left" w:pos="624"/>
                <w:tab w:val="left" w:pos="1871"/>
                <w:tab w:val="left" w:pos="2495"/>
                <w:tab w:val="left" w:pos="3119"/>
                <w:tab w:val="left" w:pos="3742"/>
                <w:tab w:val="left" w:pos="4366"/>
                <w:tab w:val="left" w:pos="4990"/>
                <w:tab w:val="left" w:pos="5613"/>
              </w:tabs>
              <w:jc w:val="center"/>
              <w:rPr>
                <w:b/>
                <w:bCs/>
              </w:rPr>
            </w:pPr>
            <w:r w:rsidRPr="005834A5">
              <w:rPr>
                <w:b/>
                <w:bCs/>
              </w:rPr>
              <w:t>Décisions de la Conférence des Parties</w:t>
            </w:r>
          </w:p>
        </w:tc>
        <w:tc>
          <w:tcPr>
            <w:tcW w:w="1080" w:type="dxa"/>
            <w:tcBorders>
              <w:top w:val="single" w:sz="4" w:space="0" w:color="auto"/>
              <w:left w:val="single" w:sz="4" w:space="0" w:color="auto"/>
              <w:bottom w:val="single" w:sz="4" w:space="0" w:color="auto"/>
              <w:right w:val="single" w:sz="4" w:space="0" w:color="auto"/>
            </w:tcBorders>
            <w:vAlign w:val="center"/>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jc w:val="center"/>
              <w:rPr>
                <w:b/>
                <w:bCs/>
              </w:rPr>
            </w:pPr>
            <w:r w:rsidRPr="005834A5">
              <w:rPr>
                <w:b/>
                <w:bCs/>
              </w:rPr>
              <w:t>Degré de priorité</w:t>
            </w:r>
          </w:p>
        </w:tc>
      </w:tr>
      <w:tr w:rsidR="0035184B" w:rsidRPr="005834A5" w:rsidTr="00B91360">
        <w:tc>
          <w:tcPr>
            <w:tcW w:w="1907"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spacing w:before="60" w:after="60"/>
            </w:pPr>
            <w:r w:rsidRPr="005834A5">
              <w:t>A. Amélioration de la coopération et de la coordination entre les conventions de Bâle, de Rotterdam et de Stockholm</w:t>
            </w:r>
          </w:p>
        </w:tc>
        <w:tc>
          <w:tcPr>
            <w:tcW w:w="3661"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40" w:after="60"/>
            </w:pPr>
            <w:r w:rsidRPr="005834A5">
              <w:t xml:space="preserve">Fournir des orientations au Secrétariat, selon les besoins, sur la mise en œuvre des décisions IX/10, </w:t>
            </w:r>
            <w:proofErr w:type="spellStart"/>
            <w:r w:rsidRPr="005834A5">
              <w:t>BC.Ex</w:t>
            </w:r>
            <w:proofErr w:type="spellEnd"/>
            <w:r w:rsidRPr="005834A5">
              <w:t xml:space="preserve">-1/1 et BC-10/29. </w:t>
            </w:r>
          </w:p>
        </w:tc>
        <w:tc>
          <w:tcPr>
            <w:tcW w:w="156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spacing w:before="60" w:after="60"/>
            </w:pPr>
            <w:r w:rsidRPr="005834A5">
              <w:t xml:space="preserve">IX/10, </w:t>
            </w:r>
            <w:r w:rsidRPr="005834A5">
              <w:br/>
              <w:t>BC-Ex.1/1 et</w:t>
            </w:r>
          </w:p>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spacing w:before="60" w:after="60"/>
            </w:pPr>
            <w:r w:rsidRPr="005834A5">
              <w:t>BC-10/29</w:t>
            </w:r>
          </w:p>
        </w:tc>
        <w:tc>
          <w:tcPr>
            <w:tcW w:w="108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spacing w:before="60" w:after="60"/>
            </w:pPr>
            <w:r w:rsidRPr="005834A5">
              <w:t>Élevé</w:t>
            </w:r>
          </w:p>
        </w:tc>
      </w:tr>
      <w:tr w:rsidR="0035184B" w:rsidRPr="005834A5" w:rsidTr="00B91360">
        <w:tc>
          <w:tcPr>
            <w:tcW w:w="1907"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spacing w:before="60" w:after="60"/>
            </w:pPr>
            <w:r w:rsidRPr="005834A5">
              <w:t>B. Coopération et coordination internationales</w:t>
            </w:r>
          </w:p>
        </w:tc>
        <w:tc>
          <w:tcPr>
            <w:tcW w:w="3661"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40" w:after="60"/>
            </w:pPr>
            <w:r w:rsidRPr="005834A5">
              <w:t>Donner des orientations au Secrétariat, selon les besoins, sur les moyens propres à renforcer la coopération et la coordination avec les organisations internationales et régionales et les accords multilatéraux sur l’environnement dans les domaines intéressant la Convention de Bâle.</w:t>
            </w:r>
          </w:p>
        </w:tc>
        <w:tc>
          <w:tcPr>
            <w:tcW w:w="156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spacing w:before="60" w:after="60"/>
            </w:pPr>
            <w:r w:rsidRPr="005834A5">
              <w:t>BC-10/15</w:t>
            </w:r>
          </w:p>
        </w:tc>
        <w:tc>
          <w:tcPr>
            <w:tcW w:w="108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spacing w:before="60" w:after="60"/>
            </w:pPr>
            <w:r w:rsidRPr="005834A5">
              <w:t>Moyen</w:t>
            </w:r>
          </w:p>
        </w:tc>
      </w:tr>
      <w:tr w:rsidR="0035184B" w:rsidRPr="005834A5" w:rsidTr="00B91360">
        <w:tc>
          <w:tcPr>
            <w:tcW w:w="1907"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spacing w:before="60" w:after="60"/>
            </w:pPr>
            <w:r w:rsidRPr="005834A5">
              <w:t>C. Démantèlement écologiquement rationnel des navires</w:t>
            </w:r>
          </w:p>
        </w:tc>
        <w:tc>
          <w:tcPr>
            <w:tcW w:w="3661"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40" w:after="60"/>
            </w:pPr>
            <w:r w:rsidRPr="005834A5">
              <w:t xml:space="preserve">Donner des orientations au Secrétariat sur les programmes pour le recyclage viable des navires et sur les évolutions de la situation en ce qui concerne la Convention de Hong Kong, en particulier l’élaboration de directives en la matière. </w:t>
            </w:r>
          </w:p>
        </w:tc>
        <w:tc>
          <w:tcPr>
            <w:tcW w:w="156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spacing w:before="60" w:after="60"/>
            </w:pPr>
            <w:r w:rsidRPr="005834A5">
              <w:t>BC-10/17</w:t>
            </w:r>
          </w:p>
        </w:tc>
        <w:tc>
          <w:tcPr>
            <w:tcW w:w="108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spacing w:before="60" w:after="60"/>
            </w:pPr>
            <w:r w:rsidRPr="005834A5">
              <w:t>Moyen</w:t>
            </w:r>
          </w:p>
        </w:tc>
      </w:tr>
      <w:tr w:rsidR="0035184B" w:rsidRPr="005834A5" w:rsidTr="00B91360">
        <w:tc>
          <w:tcPr>
            <w:tcW w:w="1907"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spacing w:before="60" w:after="60"/>
            </w:pPr>
            <w:r w:rsidRPr="005834A5">
              <w:t>D. Coopération entre la Convention de Bâle et l’Organisation maritime internationale (</w:t>
            </w:r>
            <w:smartTag w:uri="urn:schemas-microsoft-com:office:smarttags" w:element="stockticker">
              <w:r w:rsidRPr="005834A5">
                <w:t>OMI</w:t>
              </w:r>
            </w:smartTag>
            <w:r w:rsidRPr="005834A5">
              <w:t>)</w:t>
            </w:r>
          </w:p>
        </w:tc>
        <w:tc>
          <w:tcPr>
            <w:tcW w:w="3661"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40" w:after="60"/>
            </w:pPr>
            <w:r w:rsidRPr="005834A5">
              <w:t>1. Examiner la version révisée de l’analyse juridique sur l’application de la Convention de Bâle aux déchets dangereux ou autres déchets produits à bord de navires.</w:t>
            </w:r>
          </w:p>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40" w:after="60"/>
            </w:pPr>
            <w:r w:rsidRPr="005834A5">
              <w:t>2. Donner des orientations au Secrétariat en ce qui concerne les activités de coopération qu’il mène avec l’</w:t>
            </w:r>
            <w:smartTag w:uri="urn:schemas-microsoft-com:office:smarttags" w:element="stockticker">
              <w:r w:rsidRPr="005834A5">
                <w:t>OMI</w:t>
              </w:r>
            </w:smartTag>
            <w:r w:rsidRPr="005834A5">
              <w:t xml:space="preserve"> et l’Organisation internationale de normalisation.</w:t>
            </w:r>
          </w:p>
        </w:tc>
        <w:tc>
          <w:tcPr>
            <w:tcW w:w="156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spacing w:before="60" w:after="60"/>
            </w:pPr>
            <w:r w:rsidRPr="005834A5">
              <w:t>BC-10/16</w:t>
            </w:r>
          </w:p>
        </w:tc>
        <w:tc>
          <w:tcPr>
            <w:tcW w:w="108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spacing w:before="60" w:after="60"/>
            </w:pPr>
            <w:r w:rsidRPr="005834A5">
              <w:t>Moyen</w:t>
            </w:r>
          </w:p>
        </w:tc>
      </w:tr>
      <w:tr w:rsidR="0035184B" w:rsidRPr="005834A5" w:rsidTr="00B91360">
        <w:tc>
          <w:tcPr>
            <w:tcW w:w="1907"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spacing w:before="60" w:after="60"/>
            </w:pPr>
            <w:r w:rsidRPr="005834A5">
              <w:t>E. Programme de partenariats de la Convention de Bâle</w:t>
            </w:r>
          </w:p>
        </w:tc>
        <w:tc>
          <w:tcPr>
            <w:tcW w:w="3661"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40" w:after="60"/>
            </w:pPr>
            <w:r w:rsidRPr="005834A5">
              <w:t>Fournir des orientations au Secrétariat en ce qui concerne les initiatives visant à étendre la participation aux partenariats de la Convention et aux projets et activités connexes</w:t>
            </w:r>
          </w:p>
        </w:tc>
        <w:tc>
          <w:tcPr>
            <w:tcW w:w="156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spacing w:before="60" w:after="60"/>
            </w:pPr>
            <w:r w:rsidRPr="005834A5">
              <w:t>BC-10/19</w:t>
            </w:r>
          </w:p>
        </w:tc>
        <w:tc>
          <w:tcPr>
            <w:tcW w:w="1080" w:type="dxa"/>
            <w:tcBorders>
              <w:top w:val="single" w:sz="4" w:space="0" w:color="auto"/>
              <w:left w:val="single" w:sz="4" w:space="0" w:color="auto"/>
              <w:bottom w:val="single" w:sz="4" w:space="0" w:color="auto"/>
              <w:right w:val="single" w:sz="4" w:space="0" w:color="auto"/>
            </w:tcBorders>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spacing w:before="60" w:after="60"/>
            </w:pPr>
            <w:r w:rsidRPr="005834A5">
              <w:t>Moyen</w:t>
            </w:r>
          </w:p>
        </w:tc>
      </w:tr>
    </w:tbl>
    <w:p w:rsidR="0035184B" w:rsidRPr="005834A5" w:rsidRDefault="0035184B" w:rsidP="0035184B">
      <w:pPr>
        <w:tabs>
          <w:tab w:val="left" w:pos="624"/>
          <w:tab w:val="left" w:pos="1871"/>
          <w:tab w:val="left" w:pos="2495"/>
          <w:tab w:val="left" w:pos="3119"/>
          <w:tab w:val="left" w:pos="3742"/>
          <w:tab w:val="left" w:pos="4366"/>
          <w:tab w:val="left" w:pos="4990"/>
          <w:tab w:val="left" w:pos="5613"/>
        </w:tabs>
        <w:rPr>
          <w:sz w:val="16"/>
          <w:szCs w:val="16"/>
        </w:rPr>
      </w:pPr>
    </w:p>
    <w:tbl>
      <w:tblPr>
        <w:tblW w:w="8160" w:type="dxa"/>
        <w:tblInd w:w="1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20"/>
        <w:gridCol w:w="3600"/>
        <w:gridCol w:w="1560"/>
        <w:gridCol w:w="1080"/>
      </w:tblGrid>
      <w:tr w:rsidR="0035184B" w:rsidRPr="005834A5" w:rsidTr="00B91360">
        <w:trPr>
          <w:cantSplit/>
        </w:trPr>
        <w:tc>
          <w:tcPr>
            <w:tcW w:w="8160" w:type="dxa"/>
            <w:gridSpan w:val="4"/>
            <w:tcBorders>
              <w:top w:val="single" w:sz="4" w:space="0" w:color="auto"/>
              <w:left w:val="single" w:sz="4" w:space="0" w:color="auto"/>
              <w:bottom w:val="single" w:sz="4" w:space="0" w:color="auto"/>
              <w:right w:val="single" w:sz="4" w:space="0" w:color="auto"/>
            </w:tcBorders>
          </w:tcPr>
          <w:p w:rsidR="0035184B" w:rsidRPr="002937C7" w:rsidRDefault="0035184B" w:rsidP="00B91360">
            <w:pPr>
              <w:pStyle w:val="Heading5"/>
              <w:keepNext w:val="0"/>
              <w:tabs>
                <w:tab w:val="left" w:pos="624"/>
                <w:tab w:val="left" w:pos="1871"/>
                <w:tab w:val="left" w:pos="2495"/>
                <w:tab w:val="left" w:pos="3119"/>
                <w:tab w:val="left" w:pos="3742"/>
                <w:tab w:val="left" w:pos="4366"/>
                <w:tab w:val="left" w:pos="4990"/>
                <w:tab w:val="left" w:pos="5613"/>
              </w:tabs>
              <w:spacing w:before="120" w:after="120"/>
              <w:rPr>
                <w:rFonts w:eastAsia="Times New Roman"/>
                <w:i/>
                <w:iCs/>
                <w:sz w:val="20"/>
              </w:rPr>
            </w:pPr>
            <w:r w:rsidRPr="002937C7">
              <w:rPr>
                <w:rFonts w:ascii="Times New Roman" w:eastAsia="Times New Roman" w:hAnsi="Times New Roman"/>
                <w:i/>
                <w:sz w:val="20"/>
              </w:rPr>
              <w:t xml:space="preserve">VI. </w:t>
            </w:r>
            <w:r w:rsidRPr="002937C7">
              <w:rPr>
                <w:rFonts w:ascii="Times New Roman" w:eastAsia="Times New Roman" w:hAnsi="Times New Roman"/>
                <w:i/>
                <w:sz w:val="20"/>
              </w:rPr>
              <w:tab/>
              <w:t>Questions financières</w:t>
            </w:r>
          </w:p>
        </w:tc>
      </w:tr>
      <w:tr w:rsidR="0035184B" w:rsidRPr="005834A5" w:rsidTr="00B91360">
        <w:tc>
          <w:tcPr>
            <w:tcW w:w="1920" w:type="dxa"/>
            <w:tcBorders>
              <w:top w:val="single" w:sz="4" w:space="0" w:color="auto"/>
              <w:left w:val="single" w:sz="4" w:space="0" w:color="auto"/>
              <w:bottom w:val="single" w:sz="4" w:space="0" w:color="auto"/>
              <w:right w:val="single" w:sz="4" w:space="0" w:color="auto"/>
            </w:tcBorders>
            <w:vAlign w:val="center"/>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jc w:val="center"/>
              <w:rPr>
                <w:b/>
                <w:bCs/>
              </w:rPr>
            </w:pPr>
            <w:r w:rsidRPr="005834A5">
              <w:rPr>
                <w:b/>
                <w:bCs/>
              </w:rPr>
              <w:t>Questions</w:t>
            </w:r>
          </w:p>
        </w:tc>
        <w:tc>
          <w:tcPr>
            <w:tcW w:w="3600" w:type="dxa"/>
            <w:tcBorders>
              <w:top w:val="single" w:sz="4" w:space="0" w:color="auto"/>
              <w:left w:val="single" w:sz="4" w:space="0" w:color="auto"/>
              <w:bottom w:val="single" w:sz="4" w:space="0" w:color="auto"/>
              <w:right w:val="single" w:sz="4" w:space="0" w:color="auto"/>
            </w:tcBorders>
            <w:vAlign w:val="center"/>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jc w:val="center"/>
              <w:rPr>
                <w:b/>
                <w:bCs/>
              </w:rPr>
            </w:pPr>
            <w:r w:rsidRPr="005834A5">
              <w:rPr>
                <w:b/>
                <w:bCs/>
              </w:rPr>
              <w:t>Activités</w:t>
            </w:r>
          </w:p>
        </w:tc>
        <w:tc>
          <w:tcPr>
            <w:tcW w:w="1560" w:type="dxa"/>
            <w:tcBorders>
              <w:top w:val="single" w:sz="4" w:space="0" w:color="auto"/>
              <w:left w:val="single" w:sz="4" w:space="0" w:color="auto"/>
              <w:bottom w:val="single" w:sz="4" w:space="0" w:color="auto"/>
              <w:right w:val="single" w:sz="4" w:space="0" w:color="auto"/>
            </w:tcBorders>
            <w:vAlign w:val="center"/>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jc w:val="center"/>
              <w:rPr>
                <w:b/>
                <w:bCs/>
              </w:rPr>
            </w:pPr>
            <w:r w:rsidRPr="005834A5">
              <w:rPr>
                <w:b/>
                <w:bCs/>
              </w:rPr>
              <w:t>Décisions de la Conférence des Parties</w:t>
            </w:r>
          </w:p>
        </w:tc>
        <w:tc>
          <w:tcPr>
            <w:tcW w:w="1080" w:type="dxa"/>
            <w:tcBorders>
              <w:top w:val="single" w:sz="4" w:space="0" w:color="auto"/>
              <w:left w:val="single" w:sz="4" w:space="0" w:color="auto"/>
              <w:bottom w:val="single" w:sz="4" w:space="0" w:color="auto"/>
              <w:right w:val="single" w:sz="4" w:space="0" w:color="auto"/>
            </w:tcBorders>
            <w:vAlign w:val="center"/>
          </w:tcPr>
          <w:p w:rsidR="0035184B" w:rsidRPr="005834A5" w:rsidRDefault="0035184B" w:rsidP="00B91360">
            <w:pPr>
              <w:keepNext/>
              <w:keepLines/>
              <w:tabs>
                <w:tab w:val="left" w:pos="624"/>
                <w:tab w:val="left" w:pos="1871"/>
                <w:tab w:val="left" w:pos="2495"/>
                <w:tab w:val="left" w:pos="3119"/>
                <w:tab w:val="left" w:pos="3742"/>
                <w:tab w:val="left" w:pos="4366"/>
                <w:tab w:val="left" w:pos="4990"/>
                <w:tab w:val="left" w:pos="5613"/>
              </w:tabs>
              <w:jc w:val="center"/>
              <w:rPr>
                <w:b/>
                <w:bCs/>
              </w:rPr>
            </w:pPr>
            <w:r w:rsidRPr="005834A5">
              <w:rPr>
                <w:b/>
                <w:bCs/>
              </w:rPr>
              <w:t>Degré de priorité</w:t>
            </w:r>
          </w:p>
        </w:tc>
      </w:tr>
      <w:tr w:rsidR="0035184B" w:rsidRPr="005834A5" w:rsidTr="00B91360">
        <w:trPr>
          <w:trHeight w:val="579"/>
        </w:trPr>
        <w:tc>
          <w:tcPr>
            <w:tcW w:w="1920" w:type="dxa"/>
            <w:vMerge w:val="restart"/>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Budget-programme et autres questions financières</w:t>
            </w:r>
          </w:p>
        </w:tc>
        <w:tc>
          <w:tcPr>
            <w:tcW w:w="3600" w:type="dxa"/>
            <w:tcBorders>
              <w:top w:val="single" w:sz="4" w:space="0" w:color="auto"/>
              <w:left w:val="single" w:sz="4" w:space="0" w:color="auto"/>
              <w:bottom w:val="nil"/>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40" w:after="60"/>
            </w:pPr>
            <w:r w:rsidRPr="005834A5">
              <w:t xml:space="preserve">1. Donner des orientations et suivre la préparation du budget-programme pour 2014-2015 et des questions financières connexes. </w:t>
            </w:r>
          </w:p>
        </w:tc>
        <w:tc>
          <w:tcPr>
            <w:tcW w:w="1560" w:type="dxa"/>
            <w:tcBorders>
              <w:top w:val="single" w:sz="4" w:space="0" w:color="auto"/>
              <w:left w:val="single" w:sz="4" w:space="0" w:color="auto"/>
              <w:bottom w:val="nil"/>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BC-10/27</w:t>
            </w:r>
          </w:p>
        </w:tc>
        <w:tc>
          <w:tcPr>
            <w:tcW w:w="1080" w:type="dxa"/>
            <w:tcBorders>
              <w:top w:val="single" w:sz="4" w:space="0" w:color="auto"/>
              <w:left w:val="single" w:sz="4" w:space="0" w:color="auto"/>
              <w:bottom w:val="nil"/>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Élevé</w:t>
            </w:r>
          </w:p>
        </w:tc>
      </w:tr>
      <w:tr w:rsidR="0035184B" w:rsidRPr="005834A5" w:rsidTr="00B91360">
        <w:trPr>
          <w:trHeight w:val="435"/>
        </w:trPr>
        <w:tc>
          <w:tcPr>
            <w:tcW w:w="1920" w:type="dxa"/>
            <w:vMerge/>
            <w:tcBorders>
              <w:top w:val="single" w:sz="4" w:space="0" w:color="auto"/>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p>
        </w:tc>
        <w:tc>
          <w:tcPr>
            <w:tcW w:w="3600" w:type="dxa"/>
            <w:tcBorders>
              <w:top w:val="nil"/>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40" w:after="60"/>
            </w:pPr>
            <w:r w:rsidRPr="005834A5">
              <w:t>2. Examiner les rapports du Secrétariat sur les questions financières et administratives.</w:t>
            </w:r>
          </w:p>
        </w:tc>
        <w:tc>
          <w:tcPr>
            <w:tcW w:w="1560" w:type="dxa"/>
            <w:tcBorders>
              <w:top w:val="nil"/>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p>
        </w:tc>
        <w:tc>
          <w:tcPr>
            <w:tcW w:w="1080" w:type="dxa"/>
            <w:tcBorders>
              <w:top w:val="nil"/>
              <w:left w:val="single" w:sz="4" w:space="0" w:color="auto"/>
              <w:bottom w:val="single" w:sz="4" w:space="0" w:color="auto"/>
              <w:right w:val="single" w:sz="4" w:space="0" w:color="auto"/>
            </w:tcBorders>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p>
        </w:tc>
      </w:tr>
    </w:tbl>
    <w:p w:rsidR="0035184B" w:rsidRPr="005834A5" w:rsidRDefault="0035184B" w:rsidP="0035184B">
      <w:pPr>
        <w:tabs>
          <w:tab w:val="left" w:pos="624"/>
          <w:tab w:val="left" w:pos="1871"/>
          <w:tab w:val="left" w:pos="2495"/>
          <w:tab w:val="left" w:pos="3119"/>
          <w:tab w:val="left" w:pos="3742"/>
          <w:tab w:val="left" w:pos="4366"/>
          <w:tab w:val="left" w:pos="4990"/>
          <w:tab w:val="left" w:pos="5613"/>
        </w:tabs>
        <w:rPr>
          <w:sz w:val="16"/>
          <w:szCs w:val="16"/>
        </w:rPr>
      </w:pPr>
    </w:p>
    <w:p w:rsidR="0035184B" w:rsidRPr="005834A5" w:rsidRDefault="0035184B" w:rsidP="0035184B">
      <w:pPr>
        <w:tabs>
          <w:tab w:val="left" w:pos="624"/>
          <w:tab w:val="left" w:pos="1871"/>
          <w:tab w:val="left" w:pos="2495"/>
          <w:tab w:val="left" w:pos="3119"/>
          <w:tab w:val="left" w:pos="3742"/>
          <w:tab w:val="left" w:pos="4366"/>
          <w:tab w:val="left" w:pos="4990"/>
          <w:tab w:val="left" w:pos="5613"/>
        </w:tabs>
        <w:rPr>
          <w:sz w:val="16"/>
          <w:szCs w:val="16"/>
        </w:rPr>
      </w:pPr>
    </w:p>
    <w:tbl>
      <w:tblPr>
        <w:tblW w:w="8160" w:type="dxa"/>
        <w:tblInd w:w="1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36"/>
        <w:gridCol w:w="3484"/>
        <w:gridCol w:w="1560"/>
        <w:gridCol w:w="1080"/>
      </w:tblGrid>
      <w:tr w:rsidR="0035184B" w:rsidRPr="005834A5" w:rsidTr="00B91360">
        <w:trPr>
          <w:cantSplit/>
          <w:trHeight w:val="382"/>
        </w:trPr>
        <w:tc>
          <w:tcPr>
            <w:tcW w:w="8160" w:type="dxa"/>
            <w:gridSpan w:val="4"/>
          </w:tcPr>
          <w:p w:rsidR="0035184B" w:rsidRPr="002937C7" w:rsidRDefault="0035184B" w:rsidP="00B91360">
            <w:pPr>
              <w:pStyle w:val="Heading5"/>
              <w:keepNext w:val="0"/>
              <w:tabs>
                <w:tab w:val="left" w:pos="624"/>
                <w:tab w:val="left" w:pos="1871"/>
                <w:tab w:val="left" w:pos="2495"/>
                <w:tab w:val="left" w:pos="3119"/>
                <w:tab w:val="left" w:pos="3742"/>
                <w:tab w:val="left" w:pos="4366"/>
                <w:tab w:val="left" w:pos="4990"/>
                <w:tab w:val="left" w:pos="5613"/>
              </w:tabs>
              <w:spacing w:before="120" w:after="120"/>
              <w:rPr>
                <w:rFonts w:eastAsia="Times New Roman"/>
                <w:i/>
                <w:iCs/>
                <w:sz w:val="20"/>
              </w:rPr>
            </w:pPr>
            <w:smartTag w:uri="urn:schemas-microsoft-com:office:smarttags" w:element="stockticker">
              <w:r w:rsidRPr="002937C7">
                <w:rPr>
                  <w:rFonts w:ascii="Times New Roman" w:eastAsia="Times New Roman" w:hAnsi="Times New Roman"/>
                  <w:i/>
                  <w:sz w:val="20"/>
                </w:rPr>
                <w:t>VII</w:t>
              </w:r>
            </w:smartTag>
            <w:r w:rsidRPr="002937C7">
              <w:rPr>
                <w:rFonts w:ascii="Times New Roman" w:eastAsia="Times New Roman" w:hAnsi="Times New Roman"/>
                <w:i/>
                <w:sz w:val="20"/>
              </w:rPr>
              <w:t xml:space="preserve">. </w:t>
            </w:r>
            <w:r w:rsidRPr="002937C7">
              <w:rPr>
                <w:rFonts w:ascii="Times New Roman" w:eastAsia="Times New Roman" w:hAnsi="Times New Roman"/>
                <w:i/>
                <w:sz w:val="20"/>
              </w:rPr>
              <w:tab/>
              <w:t>Décisions de la Conférence des Parties</w:t>
            </w:r>
          </w:p>
        </w:tc>
      </w:tr>
      <w:tr w:rsidR="0035184B" w:rsidRPr="005834A5" w:rsidTr="00B91360">
        <w:trPr>
          <w:trHeight w:val="157"/>
        </w:trPr>
        <w:tc>
          <w:tcPr>
            <w:tcW w:w="2036" w:type="dxa"/>
            <w:vAlign w:val="center"/>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r w:rsidRPr="005834A5">
              <w:rPr>
                <w:b/>
                <w:bCs/>
              </w:rPr>
              <w:t>Questions</w:t>
            </w:r>
          </w:p>
        </w:tc>
        <w:tc>
          <w:tcPr>
            <w:tcW w:w="3484" w:type="dxa"/>
            <w:vAlign w:val="center"/>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r w:rsidRPr="005834A5">
              <w:rPr>
                <w:b/>
                <w:bCs/>
              </w:rPr>
              <w:t>Activités</w:t>
            </w:r>
          </w:p>
        </w:tc>
        <w:tc>
          <w:tcPr>
            <w:tcW w:w="1560" w:type="dxa"/>
            <w:vAlign w:val="center"/>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r w:rsidRPr="005834A5">
              <w:rPr>
                <w:b/>
                <w:bCs/>
              </w:rPr>
              <w:t>Décisions de la Conférence des Parties</w:t>
            </w:r>
          </w:p>
        </w:tc>
        <w:tc>
          <w:tcPr>
            <w:tcW w:w="1080" w:type="dxa"/>
            <w:vAlign w:val="center"/>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jc w:val="center"/>
              <w:rPr>
                <w:b/>
                <w:bCs/>
              </w:rPr>
            </w:pPr>
            <w:r w:rsidRPr="005834A5">
              <w:rPr>
                <w:b/>
                <w:bCs/>
              </w:rPr>
              <w:t>Degré de priorité</w:t>
            </w:r>
          </w:p>
        </w:tc>
      </w:tr>
      <w:tr w:rsidR="0035184B" w:rsidRPr="005834A5" w:rsidTr="00B91360">
        <w:trPr>
          <w:trHeight w:val="247"/>
        </w:trPr>
        <w:tc>
          <w:tcPr>
            <w:tcW w:w="2036" w:type="dxa"/>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Projets de décision de la Conférence des Parties</w:t>
            </w:r>
          </w:p>
        </w:tc>
        <w:tc>
          <w:tcPr>
            <w:tcW w:w="3484" w:type="dxa"/>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40" w:after="60"/>
            </w:pPr>
            <w:r w:rsidRPr="005834A5">
              <w:t>Examiner des projets de décision et les soumettre à l’examen de la Conférence des Parties, en vue de leur adoption éventuelle, à sa onzième réunion.</w:t>
            </w:r>
          </w:p>
        </w:tc>
        <w:tc>
          <w:tcPr>
            <w:tcW w:w="1560" w:type="dxa"/>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p>
        </w:tc>
        <w:tc>
          <w:tcPr>
            <w:tcW w:w="1080" w:type="dxa"/>
          </w:tcPr>
          <w:p w:rsidR="0035184B" w:rsidRPr="005834A5" w:rsidRDefault="0035184B" w:rsidP="00B91360">
            <w:pPr>
              <w:tabs>
                <w:tab w:val="left" w:pos="624"/>
                <w:tab w:val="left" w:pos="1871"/>
                <w:tab w:val="left" w:pos="2495"/>
                <w:tab w:val="left" w:pos="3119"/>
                <w:tab w:val="left" w:pos="3742"/>
                <w:tab w:val="left" w:pos="4366"/>
                <w:tab w:val="left" w:pos="4990"/>
                <w:tab w:val="left" w:pos="5613"/>
              </w:tabs>
              <w:spacing w:before="60" w:after="60"/>
            </w:pPr>
            <w:r w:rsidRPr="005834A5">
              <w:t>Élevé</w:t>
            </w:r>
          </w:p>
        </w:tc>
      </w:tr>
    </w:tbl>
    <w:p w:rsidR="00420537" w:rsidRDefault="00420537"/>
    <w:sectPr w:rsidR="00420537" w:rsidSect="0042053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w:altName w:val="Arial"/>
    <w:charset w:val="00"/>
    <w:family w:val="swiss"/>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757917"/>
    <w:multiLevelType w:val="multilevel"/>
    <w:tmpl w:val="7AEA0618"/>
    <w:numStyleLink w:val="Normallist"/>
  </w:abstractNum>
  <w:abstractNum w:abstractNumId="1">
    <w:nsid w:val="52A66A9D"/>
    <w:multiLevelType w:val="multilevel"/>
    <w:tmpl w:val="7AEA0618"/>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num w:numId="1">
    <w:abstractNumId w:val="1"/>
  </w:num>
  <w:num w:numId="2">
    <w:abstractNumId w:val="0"/>
    <w:lvlOverride w:ilvl="0">
      <w:lvl w:ilvl="0">
        <w:start w:val="1"/>
        <w:numFmt w:val="decimal"/>
        <w:pStyle w:val="Normalnumber"/>
        <w:lvlText w:val="%1."/>
        <w:lvlJc w:val="left"/>
        <w:pPr>
          <w:tabs>
            <w:tab w:val="num" w:pos="567"/>
          </w:tabs>
          <w:ind w:left="1247" w:firstLine="0"/>
        </w:pPr>
        <w:rPr>
          <w:rFonts w:hint="default"/>
          <w:i w:val="0"/>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5184B"/>
    <w:rsid w:val="0035184B"/>
    <w:rsid w:val="00420537"/>
    <w:rsid w:val="004C73B6"/>
    <w:rsid w:val="00DB7A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184B"/>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rPr>
  </w:style>
  <w:style w:type="paragraph" w:styleId="Heading5">
    <w:name w:val="heading 5"/>
    <w:basedOn w:val="Normal"/>
    <w:next w:val="Normal"/>
    <w:link w:val="Heading5Char"/>
    <w:qFormat/>
    <w:rsid w:val="0035184B"/>
    <w:pPr>
      <w:keepNext/>
      <w:outlineLvl w:val="4"/>
    </w:pPr>
    <w:rPr>
      <w:rFonts w:ascii="Univers" w:eastAsia="SimSun" w:hAnsi="Univers"/>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35184B"/>
    <w:rPr>
      <w:rFonts w:ascii="Univers" w:eastAsia="SimSun" w:hAnsi="Univers" w:cs="Times New Roman"/>
      <w:b/>
      <w:sz w:val="24"/>
      <w:szCs w:val="20"/>
      <w:lang w:val="fr-FR"/>
    </w:rPr>
  </w:style>
  <w:style w:type="character" w:customStyle="1" w:styleId="NormalNonumberCharChar">
    <w:name w:val="Normal_No_number Char Char"/>
    <w:basedOn w:val="DefaultParagraphFont"/>
    <w:link w:val="NormalNonumberChar"/>
    <w:rsid w:val="0035184B"/>
    <w:rPr>
      <w:rFonts w:eastAsia="SimSun"/>
      <w:lang w:val="fr-FR" w:eastAsia="zh-CN"/>
    </w:rPr>
  </w:style>
  <w:style w:type="paragraph" w:customStyle="1" w:styleId="CH1">
    <w:name w:val="CH1"/>
    <w:basedOn w:val="Normal"/>
    <w:next w:val="Normal"/>
    <w:link w:val="CH1Char"/>
    <w:rsid w:val="0035184B"/>
    <w:pPr>
      <w:keepNext/>
      <w:keepLines/>
      <w:tabs>
        <w:tab w:val="right" w:pos="851"/>
      </w:tabs>
      <w:suppressAutoHyphens/>
      <w:spacing w:before="240" w:after="120"/>
      <w:ind w:left="1247" w:right="284" w:hanging="1247"/>
    </w:pPr>
    <w:rPr>
      <w:b/>
      <w:sz w:val="28"/>
      <w:szCs w:val="28"/>
    </w:rPr>
  </w:style>
  <w:style w:type="character" w:customStyle="1" w:styleId="NormalnumberChar">
    <w:name w:val="Normal_number Char"/>
    <w:basedOn w:val="DefaultParagraphFont"/>
    <w:link w:val="Normalnumber"/>
    <w:rsid w:val="0035184B"/>
    <w:rPr>
      <w:lang w:val="fr-FR"/>
    </w:rPr>
  </w:style>
  <w:style w:type="paragraph" w:customStyle="1" w:styleId="Decisionparagraphs">
    <w:name w:val="Decision paragraphs"/>
    <w:basedOn w:val="Normal"/>
    <w:rsid w:val="0035184B"/>
    <w:pPr>
      <w:keepNext/>
      <w:tabs>
        <w:tab w:val="clear" w:pos="1247"/>
        <w:tab w:val="clear" w:pos="1814"/>
        <w:tab w:val="clear" w:pos="2381"/>
        <w:tab w:val="clear" w:pos="2948"/>
        <w:tab w:val="clear" w:pos="3515"/>
        <w:tab w:val="left" w:pos="624"/>
      </w:tabs>
      <w:spacing w:after="120"/>
      <w:ind w:left="1247" w:firstLine="624"/>
    </w:pPr>
    <w:rPr>
      <w:lang w:val="en-GB"/>
    </w:rPr>
  </w:style>
  <w:style w:type="character" w:customStyle="1" w:styleId="CH1Char">
    <w:name w:val="CH1 Char"/>
    <w:basedOn w:val="DefaultParagraphFont"/>
    <w:link w:val="CH1"/>
    <w:rsid w:val="0035184B"/>
    <w:rPr>
      <w:rFonts w:ascii="Times New Roman" w:eastAsia="Times New Roman" w:hAnsi="Times New Roman" w:cs="Times New Roman"/>
      <w:b/>
      <w:sz w:val="28"/>
      <w:szCs w:val="28"/>
      <w:lang w:val="fr-FR"/>
    </w:rPr>
  </w:style>
  <w:style w:type="numbering" w:customStyle="1" w:styleId="Normallist">
    <w:name w:val="Normal_list"/>
    <w:basedOn w:val="NoList"/>
    <w:rsid w:val="0035184B"/>
    <w:pPr>
      <w:numPr>
        <w:numId w:val="1"/>
      </w:numPr>
    </w:pPr>
  </w:style>
  <w:style w:type="paragraph" w:customStyle="1" w:styleId="NormalNonumberChar">
    <w:name w:val="Normal_No_number Char"/>
    <w:basedOn w:val="Normal"/>
    <w:link w:val="NormalNonumberCharChar"/>
    <w:rsid w:val="0035184B"/>
    <w:pPr>
      <w:spacing w:after="120"/>
      <w:ind w:left="1247"/>
    </w:pPr>
    <w:rPr>
      <w:rFonts w:asciiTheme="minorHAnsi" w:eastAsia="SimSun" w:hAnsiTheme="minorHAnsi" w:cstheme="minorBidi"/>
      <w:sz w:val="22"/>
      <w:szCs w:val="22"/>
      <w:lang w:eastAsia="zh-CN"/>
    </w:rPr>
  </w:style>
  <w:style w:type="paragraph" w:customStyle="1" w:styleId="Normalnumber">
    <w:name w:val="Normal_number"/>
    <w:basedOn w:val="Normal"/>
    <w:link w:val="NormalnumberChar"/>
    <w:rsid w:val="0035184B"/>
    <w:pPr>
      <w:numPr>
        <w:numId w:val="2"/>
      </w:numPr>
      <w:spacing w:after="120"/>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ms.unov.org/UNONTerm/ShowRecord.aspx?RecordID=3f1b4eb6-4b4c-47da-bb82-13aca987ab2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1393</Words>
  <Characters>7945</Characters>
  <Application>Microsoft Office Word</Application>
  <DocSecurity>0</DocSecurity>
  <Lines>66</Lines>
  <Paragraphs>18</Paragraphs>
  <ScaleCrop>false</ScaleCrop>
  <Company>BRS</Company>
  <LinksUpToDate>false</LinksUpToDate>
  <CharactersWithSpaces>9320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achakwera</dc:creator>
  <cp:lastModifiedBy>achakwera</cp:lastModifiedBy>
  <cp:revision>2</cp:revision>
  <dcterms:created xsi:type="dcterms:W3CDTF">2018-02-21T09:57:00Z</dcterms:created>
  <dcterms:modified xsi:type="dcterms:W3CDTF">2018-02-21T10:08:00Z</dcterms:modified>
</cp:coreProperties>
</file>