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5AC" w:rsidRPr="00A833B0" w:rsidRDefault="00E315AC" w:rsidP="00E315AC">
      <w:pPr>
        <w:pStyle w:val="BBTitle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240"/>
        <w:rPr>
          <w:lang w:val="es-ES"/>
        </w:rPr>
      </w:pPr>
      <w:r w:rsidRPr="00A833B0">
        <w:rPr>
          <w:lang w:val="es-ES"/>
        </w:rPr>
        <w:t>BC</w:t>
      </w:r>
      <w:r w:rsidRPr="00A833B0">
        <w:rPr>
          <w:lang w:val="es-ES"/>
        </w:rPr>
        <w:noBreakHyphen/>
        <w:t>10/25</w:t>
      </w:r>
      <w:proofErr w:type="gramStart"/>
      <w:r w:rsidRPr="00A833B0">
        <w:rPr>
          <w:lang w:val="es-ES"/>
        </w:rPr>
        <w:t>:  Programa</w:t>
      </w:r>
      <w:proofErr w:type="gramEnd"/>
      <w:r w:rsidRPr="00A833B0">
        <w:rPr>
          <w:lang w:val="es-ES"/>
        </w:rPr>
        <w:t xml:space="preserve"> de trabajo del Grupo de Trabajo de composición abierta para 2012–2013</w:t>
      </w:r>
    </w:p>
    <w:p w:rsidR="00E315AC" w:rsidRPr="00A833B0" w:rsidRDefault="00E315AC" w:rsidP="00E315AC">
      <w:pPr>
        <w:pStyle w:val="NormalNonumber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i/>
          <w:lang w:val="es-ES"/>
        </w:rPr>
      </w:pPr>
      <w:r w:rsidRPr="00A833B0">
        <w:rPr>
          <w:i/>
          <w:iCs/>
          <w:lang w:val="es-ES"/>
        </w:rPr>
        <w:t>La Conferencia de las Partes</w:t>
      </w:r>
      <w:r w:rsidRPr="00A833B0">
        <w:rPr>
          <w:i/>
          <w:lang w:val="es-ES"/>
        </w:rPr>
        <w:t>,</w:t>
      </w:r>
    </w:p>
    <w:p w:rsidR="00E315AC" w:rsidRPr="00A833B0" w:rsidRDefault="00E315AC" w:rsidP="00E315A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lang w:val="es-ES"/>
        </w:rPr>
      </w:pPr>
      <w:r w:rsidRPr="00A833B0">
        <w:rPr>
          <w:lang w:val="es-ES"/>
        </w:rPr>
        <w:t>1.</w:t>
      </w:r>
      <w:r w:rsidRPr="00A833B0">
        <w:rPr>
          <w:lang w:val="es-ES"/>
        </w:rPr>
        <w:tab/>
      </w:r>
      <w:r w:rsidRPr="00A833B0">
        <w:rPr>
          <w:i/>
          <w:lang w:val="es-ES"/>
        </w:rPr>
        <w:t>Aprueba</w:t>
      </w:r>
      <w:r w:rsidRPr="00A833B0">
        <w:rPr>
          <w:lang w:val="es-ES"/>
        </w:rPr>
        <w:t xml:space="preserve"> el programa de trabajo del Grupo de Trabajo de composición abierta para 2012</w:t>
      </w:r>
      <w:r w:rsidRPr="00A833B0">
        <w:rPr>
          <w:lang w:val="es-ES"/>
        </w:rPr>
        <w:noBreakHyphen/>
        <w:t>2013 que figura en el anexo de la presente decisión;</w:t>
      </w:r>
    </w:p>
    <w:p w:rsidR="00E315AC" w:rsidRPr="00A833B0" w:rsidRDefault="00E315AC" w:rsidP="00E315AC">
      <w:pPr>
        <w:pStyle w:val="NormalNonumber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firstLine="624"/>
        <w:rPr>
          <w:lang w:val="es-ES"/>
        </w:rPr>
      </w:pPr>
      <w:r w:rsidRPr="00A833B0">
        <w:rPr>
          <w:lang w:val="es-ES"/>
        </w:rPr>
        <w:t>2.</w:t>
      </w:r>
      <w:r w:rsidRPr="00A833B0">
        <w:rPr>
          <w:lang w:val="es-ES"/>
        </w:rPr>
        <w:tab/>
        <w:t xml:space="preserve"> </w:t>
      </w:r>
      <w:r w:rsidRPr="00A833B0">
        <w:rPr>
          <w:i/>
          <w:lang w:val="es-ES"/>
        </w:rPr>
        <w:t>Elige</w:t>
      </w:r>
      <w:r w:rsidRPr="00A833B0">
        <w:rPr>
          <w:lang w:val="es-ES"/>
        </w:rPr>
        <w:t xml:space="preserve"> como miembros de la Mesa del Grupo de Trabajo de composición abierta para el bienio 2012</w:t>
      </w:r>
      <w:r w:rsidRPr="00A833B0">
        <w:rPr>
          <w:lang w:val="es-ES"/>
        </w:rPr>
        <w:noBreakHyphen/>
        <w:t>2013 a los representantes siguientes:</w:t>
      </w:r>
    </w:p>
    <w:p w:rsidR="00E315AC" w:rsidRPr="00A833B0" w:rsidRDefault="00E315AC" w:rsidP="00E315AC">
      <w:pPr>
        <w:spacing w:after="120"/>
        <w:rPr>
          <w:lang w:val="es-ES"/>
        </w:rPr>
      </w:pPr>
      <w:r w:rsidRPr="00A833B0">
        <w:rPr>
          <w:lang w:val="es-ES"/>
        </w:rPr>
        <w:tab/>
      </w:r>
      <w:r w:rsidRPr="00A833B0">
        <w:rPr>
          <w:lang w:val="es-ES"/>
        </w:rPr>
        <w:tab/>
        <w:t>Copresidentes:</w:t>
      </w:r>
      <w:r w:rsidRPr="00A833B0">
        <w:rPr>
          <w:lang w:val="es-ES"/>
        </w:rPr>
        <w:tab/>
      </w:r>
      <w:r w:rsidRPr="00A833B0">
        <w:rPr>
          <w:lang w:val="es-ES"/>
        </w:rPr>
        <w:tab/>
        <w:t>Sra. Marcela Bonilla (Colombia)</w:t>
      </w:r>
      <w:r w:rsidRPr="00A833B0" w:rsidDel="00D359CF">
        <w:rPr>
          <w:lang w:val="es-ES"/>
        </w:rPr>
        <w:t xml:space="preserve"> </w:t>
      </w:r>
      <w:r w:rsidRPr="00A833B0">
        <w:rPr>
          <w:lang w:val="es-ES"/>
        </w:rPr>
        <w:t>(Técnico)</w:t>
      </w:r>
    </w:p>
    <w:p w:rsidR="00E315AC" w:rsidRPr="00A833B0" w:rsidRDefault="00E315AC" w:rsidP="00E315AC">
      <w:pPr>
        <w:spacing w:after="120"/>
        <w:ind w:left="2127" w:firstLine="368"/>
        <w:rPr>
          <w:lang w:val="es-ES"/>
        </w:rPr>
      </w:pPr>
      <w:r>
        <w:rPr>
          <w:lang w:val="es-ES"/>
        </w:rPr>
        <w:tab/>
      </w:r>
      <w:r w:rsidRPr="00A833B0">
        <w:rPr>
          <w:lang w:val="es-ES"/>
        </w:rPr>
        <w:t>Sr. </w:t>
      </w:r>
      <w:proofErr w:type="spellStart"/>
      <w:r w:rsidRPr="00A833B0">
        <w:rPr>
          <w:lang w:val="es-ES"/>
        </w:rPr>
        <w:t>Luay</w:t>
      </w:r>
      <w:proofErr w:type="spellEnd"/>
      <w:r w:rsidRPr="00A833B0">
        <w:rPr>
          <w:lang w:val="es-ES"/>
        </w:rPr>
        <w:t xml:space="preserve"> S.  Al</w:t>
      </w:r>
      <w:r w:rsidRPr="00A833B0">
        <w:rPr>
          <w:lang w:val="es-ES"/>
        </w:rPr>
        <w:noBreakHyphen/>
      </w:r>
      <w:proofErr w:type="spellStart"/>
      <w:r w:rsidRPr="00A833B0">
        <w:rPr>
          <w:lang w:val="es-ES"/>
        </w:rPr>
        <w:t>Mukhtar</w:t>
      </w:r>
      <w:proofErr w:type="spellEnd"/>
      <w:r w:rsidRPr="00A833B0">
        <w:rPr>
          <w:lang w:val="es-ES"/>
        </w:rPr>
        <w:t xml:space="preserve"> (Iraq) (Jurídico)</w:t>
      </w:r>
    </w:p>
    <w:p w:rsidR="00E315AC" w:rsidRPr="00A833B0" w:rsidRDefault="00E315AC" w:rsidP="00E315AC">
      <w:pPr>
        <w:spacing w:after="120"/>
        <w:rPr>
          <w:lang w:val="es-ES"/>
        </w:rPr>
      </w:pPr>
      <w:r w:rsidRPr="00A833B0">
        <w:rPr>
          <w:lang w:val="es-ES"/>
        </w:rPr>
        <w:tab/>
      </w:r>
      <w:r w:rsidRPr="00A833B0">
        <w:rPr>
          <w:lang w:val="es-ES"/>
        </w:rPr>
        <w:tab/>
        <w:t>Vicepresidentes:</w:t>
      </w:r>
      <w:r w:rsidRPr="00A833B0">
        <w:rPr>
          <w:lang w:val="es-ES"/>
        </w:rPr>
        <w:tab/>
        <w:t xml:space="preserve">Sr. James </w:t>
      </w:r>
      <w:proofErr w:type="spellStart"/>
      <w:r w:rsidRPr="00A833B0">
        <w:rPr>
          <w:lang w:val="es-ES"/>
        </w:rPr>
        <w:t>Mulolo</w:t>
      </w:r>
      <w:proofErr w:type="spellEnd"/>
      <w:r w:rsidRPr="00A833B0">
        <w:rPr>
          <w:lang w:val="es-ES"/>
        </w:rPr>
        <w:t xml:space="preserve"> (Zambia) (Técnico)</w:t>
      </w:r>
    </w:p>
    <w:p w:rsidR="00E315AC" w:rsidRPr="00A833B0" w:rsidRDefault="00E315AC" w:rsidP="00E315AC">
      <w:pPr>
        <w:spacing w:after="120"/>
        <w:ind w:left="2127" w:firstLine="368"/>
        <w:rPr>
          <w:lang w:val="es-ES"/>
        </w:rPr>
      </w:pPr>
      <w:r>
        <w:rPr>
          <w:lang w:val="es-ES"/>
        </w:rPr>
        <w:tab/>
      </w:r>
      <w:r w:rsidRPr="00A833B0">
        <w:rPr>
          <w:lang w:val="es-ES"/>
        </w:rPr>
        <w:t xml:space="preserve">Sr. Vladimir </w:t>
      </w:r>
      <w:proofErr w:type="spellStart"/>
      <w:r w:rsidRPr="00A833B0">
        <w:rPr>
          <w:lang w:val="es-ES"/>
        </w:rPr>
        <w:t>Lenev</w:t>
      </w:r>
      <w:proofErr w:type="spellEnd"/>
      <w:r w:rsidRPr="00A833B0">
        <w:rPr>
          <w:lang w:val="es-ES"/>
        </w:rPr>
        <w:t xml:space="preserve"> (Federación de Rusia) (Jurídico)</w:t>
      </w:r>
    </w:p>
    <w:p w:rsidR="00E315AC" w:rsidRPr="00A833B0" w:rsidRDefault="00E315AC" w:rsidP="00E315AC">
      <w:pPr>
        <w:spacing w:after="120"/>
        <w:rPr>
          <w:lang w:val="es-ES"/>
        </w:rPr>
      </w:pPr>
      <w:r w:rsidRPr="00A833B0">
        <w:rPr>
          <w:lang w:val="es-ES"/>
        </w:rPr>
        <w:tab/>
      </w:r>
      <w:r w:rsidRPr="00A833B0">
        <w:rPr>
          <w:lang w:val="es-ES"/>
        </w:rPr>
        <w:tab/>
        <w:t>Relator:</w:t>
      </w:r>
      <w:r w:rsidRPr="00A833B0">
        <w:rPr>
          <w:lang w:val="es-ES"/>
        </w:rPr>
        <w:tab/>
      </w:r>
      <w:r w:rsidRPr="00A833B0">
        <w:rPr>
          <w:lang w:val="es-ES"/>
        </w:rPr>
        <w:tab/>
        <w:t>Sr. </w:t>
      </w:r>
      <w:proofErr w:type="spellStart"/>
      <w:r w:rsidRPr="00A833B0">
        <w:rPr>
          <w:lang w:val="es-ES"/>
        </w:rPr>
        <w:t>Tuomas</w:t>
      </w:r>
      <w:proofErr w:type="spellEnd"/>
      <w:r w:rsidRPr="00A833B0">
        <w:rPr>
          <w:lang w:val="es-ES"/>
        </w:rPr>
        <w:t xml:space="preserve"> </w:t>
      </w:r>
      <w:proofErr w:type="spellStart"/>
      <w:r w:rsidRPr="00A833B0">
        <w:rPr>
          <w:lang w:val="es-ES"/>
        </w:rPr>
        <w:t>Aarnio</w:t>
      </w:r>
      <w:proofErr w:type="spellEnd"/>
      <w:r w:rsidRPr="00A833B0">
        <w:rPr>
          <w:lang w:val="es-ES"/>
        </w:rPr>
        <w:t xml:space="preserve"> (Finlandia)</w:t>
      </w:r>
    </w:p>
    <w:p w:rsidR="00E315AC" w:rsidRPr="00A833B0" w:rsidRDefault="00E315AC" w:rsidP="00E315AC">
      <w:pPr>
        <w:pStyle w:val="BBTitle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before="0" w:after="120"/>
        <w:rPr>
          <w:lang w:val="es-ES"/>
        </w:rPr>
      </w:pPr>
      <w:r w:rsidRPr="00A833B0">
        <w:rPr>
          <w:lang w:val="es-ES"/>
        </w:rPr>
        <w:t>Anexo de decisión BC</w:t>
      </w:r>
      <w:r w:rsidRPr="00A833B0">
        <w:rPr>
          <w:lang w:val="es-ES"/>
        </w:rPr>
        <w:noBreakHyphen/>
        <w:t>10/25</w:t>
      </w:r>
    </w:p>
    <w:p w:rsidR="00E315AC" w:rsidRPr="00A833B0" w:rsidRDefault="00E315AC" w:rsidP="00E315AC">
      <w:pPr>
        <w:pStyle w:val="BBTitle"/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lang w:val="es-ES"/>
        </w:rPr>
      </w:pPr>
      <w:r w:rsidRPr="00A833B0">
        <w:rPr>
          <w:lang w:val="es-ES"/>
        </w:rPr>
        <w:t>Programa de trabajo del Grupo de Trabajo de composición abierta para 2012–2013</w:t>
      </w:r>
    </w:p>
    <w:tbl>
      <w:tblPr>
        <w:tblW w:w="8448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3648"/>
        <w:gridCol w:w="1560"/>
        <w:gridCol w:w="1320"/>
      </w:tblGrid>
      <w:tr w:rsidR="00E315AC" w:rsidRPr="00A833B0" w:rsidTr="00B63EB2">
        <w:trPr>
          <w:cantSplit/>
        </w:trPr>
        <w:tc>
          <w:tcPr>
            <w:tcW w:w="8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i w:val="0"/>
                <w:iCs w:val="0"/>
                <w:sz w:val="20"/>
                <w:lang w:val="es-ES"/>
              </w:rPr>
            </w:pPr>
            <w:r w:rsidRPr="00A833B0">
              <w:rPr>
                <w:sz w:val="20"/>
                <w:lang w:val="es-ES"/>
              </w:rPr>
              <w:t xml:space="preserve">I.  </w:t>
            </w:r>
            <w:r w:rsidRPr="00A833B0">
              <w:rPr>
                <w:sz w:val="20"/>
                <w:lang w:val="es-ES"/>
              </w:rPr>
              <w:tab/>
              <w:t>Cuestiones estratégicas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</w:p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A.  Marco estratégico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Impartir orientación a la Secretaría y a los centros regionales del Convenio de Basilea sobre los esfuerzos para prestar asistencia a las Partes en la elaboración y aplicación del marco estratégico.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10/2</w:t>
            </w:r>
          </w:p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rPr>
          <w:trHeight w:val="88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B.  Centros regionales y de coordinación del Convenio de Basilea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Vigilar el fortalecimiento de los centros regionales y de coordinación del Convenio de Basilea.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Alta </w:t>
            </w:r>
          </w:p>
        </w:tc>
      </w:tr>
      <w:tr w:rsidR="00E315AC" w:rsidRPr="00A833B0" w:rsidTr="00B63EB2">
        <w:trPr>
          <w:trHeight w:val="837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rFonts w:eastAsia="Batang"/>
                <w:lang w:val="es-ES" w:eastAsia="ko-KR"/>
              </w:rPr>
            </w:pPr>
            <w:r w:rsidRPr="00A833B0">
              <w:rPr>
                <w:lang w:val="es-ES"/>
              </w:rPr>
              <w:t>C.  Programa sobre modalidades de asociación del Convenio de Basilea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1.  Impartir orientación sobre la labor realizada por la Secretaría y los centros regionales del Convenio de Basilea en la aplicación del plan de trabajo del Programa sobre modalidades de asociación del Convenio de Basilea.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  <w:tr w:rsidR="00E315AC" w:rsidRPr="00A833B0" w:rsidTr="00B63EB2">
        <w:trPr>
          <w:trHeight w:val="425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rFonts w:eastAsia="Batang"/>
                <w:lang w:val="es-ES"/>
              </w:rPr>
              <w:t xml:space="preserve">2.  </w:t>
            </w:r>
            <w:r w:rsidRPr="00A833B0">
              <w:rPr>
                <w:lang w:val="es-ES"/>
              </w:rPr>
              <w:t>Impartir orientación sobre las actividades de la Asociación para la acción en materia de equipo de computadoras.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10/20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rPr>
          <w:trHeight w:val="425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D.  Círculo de Basilea para la solución del </w:t>
            </w:r>
            <w:r w:rsidRPr="00A833B0">
              <w:rPr>
                <w:lang w:val="es-ES"/>
              </w:rPr>
              <w:lastRenderedPageBreak/>
              <w:t>problema de los desechos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rFonts w:eastAsia="Batang"/>
                <w:lang w:val="es-ES" w:eastAsia="ko-KR"/>
              </w:rPr>
            </w:pPr>
            <w:r w:rsidRPr="00A833B0">
              <w:rPr>
                <w:lang w:val="es-ES"/>
              </w:rPr>
              <w:lastRenderedPageBreak/>
              <w:t>Impartir orientación a la Secretaría sobre el d</w:t>
            </w:r>
            <w:r w:rsidRPr="00A833B0">
              <w:rPr>
                <w:color w:val="000000"/>
                <w:lang w:val="es-ES"/>
              </w:rPr>
              <w:t xml:space="preserve">esarrollo ulterior y la aplicación del Círculo de Basilea para la solución del </w:t>
            </w:r>
            <w:r w:rsidRPr="00A833B0">
              <w:rPr>
                <w:color w:val="000000"/>
                <w:lang w:val="es-ES"/>
              </w:rPr>
              <w:lastRenderedPageBreak/>
              <w:t>problema de los desechos</w:t>
            </w:r>
            <w:r w:rsidRPr="00A833B0">
              <w:rPr>
                <w:rFonts w:eastAsia="Batang"/>
                <w:lang w:val="es-E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lastRenderedPageBreak/>
              <w:t>BC</w:t>
            </w:r>
            <w:r w:rsidRPr="00A833B0">
              <w:rPr>
                <w:lang w:val="es-ES"/>
              </w:rPr>
              <w:noBreakHyphen/>
              <w:t>10/26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</w:tbl>
    <w:p w:rsidR="00E315AC" w:rsidRDefault="00E315AC" w:rsidP="00E315AC">
      <w:pPr>
        <w:rPr>
          <w:lang w:val="es-ES"/>
        </w:rPr>
      </w:pPr>
    </w:p>
    <w:p w:rsidR="00E315AC" w:rsidRPr="00A833B0" w:rsidRDefault="00E315AC" w:rsidP="00E315AC">
      <w:pPr>
        <w:rPr>
          <w:lang w:val="es-ES"/>
        </w:rPr>
      </w:pPr>
      <w:r>
        <w:rPr>
          <w:lang w:val="es-ES"/>
        </w:rPr>
        <w:br w:type="page"/>
      </w:r>
    </w:p>
    <w:tbl>
      <w:tblPr>
        <w:tblW w:w="8460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3714"/>
        <w:gridCol w:w="1676"/>
        <w:gridCol w:w="1150"/>
      </w:tblGrid>
      <w:tr w:rsidR="00E315AC" w:rsidRPr="00A833B0" w:rsidTr="00B63EB2">
        <w:tc>
          <w:tcPr>
            <w:tcW w:w="84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i w:val="0"/>
                <w:sz w:val="20"/>
                <w:lang w:val="es-ES"/>
              </w:rPr>
            </w:pPr>
            <w:r w:rsidRPr="00A833B0">
              <w:rPr>
                <w:lang w:val="es-ES"/>
              </w:rPr>
              <w:lastRenderedPageBreak/>
              <w:br w:type="page"/>
            </w:r>
            <w:r w:rsidRPr="00A833B0">
              <w:rPr>
                <w:sz w:val="20"/>
                <w:lang w:val="es-ES"/>
              </w:rPr>
              <w:t>II.</w:t>
            </w:r>
            <w:r w:rsidRPr="00A833B0">
              <w:rPr>
                <w:sz w:val="20"/>
                <w:lang w:val="es-ES"/>
              </w:rPr>
              <w:tab/>
              <w:t>Asuntos científicos y técnicos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 xml:space="preserve">A.  Seguimiento de la </w:t>
            </w:r>
            <w:r w:rsidRPr="00A833B0">
              <w:rPr>
                <w:rStyle w:val="sentencecolor4"/>
                <w:lang w:val="es-ES"/>
              </w:rPr>
              <w:t>Iniciativa patrocinada por Indonesia y Suiza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1.  Impartir orientación al grupo de expertos técnicos sobre la elaboración de un marco para el manejo ambientalmente racional de los desechos peligrosos y otros desechos.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10/3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24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2.  Elaborar un proyecto de orientaciones que proporcionen a las autoridades nacionales, los centros regionales y todos los demás interesados directos asesoramiento coherente respecto de la interpretación de ciertos términos, teniendo en cuenta el informe de la Secretaría y aprovechando las orientaciones disponibles y los ejemplos de buenas prácticas que se detallan en el párrafo 4, sección C, de la decisión BC</w:t>
            </w:r>
            <w:r w:rsidRPr="00A833B0">
              <w:rPr>
                <w:lang w:val="es-ES"/>
              </w:rPr>
              <w:noBreakHyphen/>
              <w:t>10/3.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3.  Impartir orientación a la Secretaría en la preparación de un estudio en el que se establezcan opciones para solucionar los problemas que representan los bienes usados y al final de su vida útil, que podría incluir obligaciones de aceptación de la devolución y una aclaración del concepto de “donaciones caritativas”.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>(Nota</w:t>
            </w:r>
            <w:proofErr w:type="gramStart"/>
            <w:r w:rsidRPr="00A833B0">
              <w:rPr>
                <w:lang w:val="es-ES"/>
              </w:rPr>
              <w:t>:  Las</w:t>
            </w:r>
            <w:proofErr w:type="gramEnd"/>
            <w:r w:rsidRPr="00A833B0">
              <w:rPr>
                <w:lang w:val="es-ES"/>
              </w:rPr>
              <w:t xml:space="preserve"> actividades 2 y 3 son transversales y, como tal, también se mencionan en la sección III del programa de trabajo.)</w:t>
            </w:r>
          </w:p>
        </w:tc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b/>
                <w:bCs/>
                <w:lang w:val="es-ES"/>
              </w:rPr>
            </w:pPr>
          </w:p>
        </w:tc>
      </w:tr>
      <w:tr w:rsidR="00E315AC" w:rsidRPr="00A833B0" w:rsidTr="00B63EB2">
        <w:trPr>
          <w:trHeight w:val="578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  <w:r w:rsidRPr="00A833B0">
              <w:rPr>
                <w:lang w:val="es-ES"/>
              </w:rPr>
              <w:t>B.  Directrices técnicas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  <w:r w:rsidRPr="00A833B0">
              <w:rPr>
                <w:lang w:val="es-ES"/>
              </w:rPr>
              <w:t>1.  Preparar directrices técnicas sobre los movimientos transfronterizos de los desechos eléctricos y electrónicos, en particular respecto de la distinción entre desechos y sustancias distintas de los desechos.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rFonts w:eastAsia="Batang"/>
                <w:lang w:val="es-ES" w:eastAsia="ko-KR"/>
              </w:rPr>
            </w:pPr>
            <w:r w:rsidRPr="00A833B0">
              <w:rPr>
                <w:lang w:val="es-ES"/>
              </w:rPr>
              <w:t xml:space="preserve">2 a) Actualizar las directrices técnicas generales sobre la gestión ambientalmente racional de los contaminantes orgánicos persistentes y </w:t>
            </w:r>
            <w:r w:rsidRPr="00A833B0">
              <w:rPr>
                <w:rFonts w:eastAsia="Batang"/>
                <w:lang w:val="es-ES"/>
              </w:rPr>
              <w:t xml:space="preserve">preparar y actualizar directrices técnicas concretas en relación con diez nuevos </w:t>
            </w:r>
            <w:r w:rsidRPr="00A833B0">
              <w:rPr>
                <w:lang w:val="es-ES"/>
              </w:rPr>
              <w:t>contaminantes orgánicos persistentes</w:t>
            </w:r>
            <w:r w:rsidRPr="00A833B0">
              <w:rPr>
                <w:rFonts w:eastAsia="Batang"/>
                <w:lang w:val="es-ES"/>
              </w:rPr>
              <w:t>.</w:t>
            </w:r>
          </w:p>
          <w:p w:rsidR="00E315AC" w:rsidRPr="00A833B0" w:rsidRDefault="00E315AC" w:rsidP="00B63EB2">
            <w:pPr>
              <w:pStyle w:val="Decisionparagraphs"/>
              <w:keepNext w:val="0"/>
              <w:tabs>
                <w:tab w:val="clear" w:pos="624"/>
              </w:tabs>
              <w:spacing w:after="60"/>
              <w:ind w:left="60" w:hanging="60"/>
              <w:rPr>
                <w:lang w:val="es-ES"/>
              </w:rPr>
            </w:pPr>
            <w:r w:rsidRPr="00A833B0">
              <w:rPr>
                <w:rFonts w:eastAsia="Batang"/>
                <w:lang w:val="es-ES"/>
              </w:rPr>
              <w:t xml:space="preserve">2 b) </w:t>
            </w:r>
            <w:r w:rsidRPr="00A833B0">
              <w:rPr>
                <w:lang w:val="es-ES"/>
              </w:rPr>
              <w:t xml:space="preserve">Establecer los niveles de destrucción y transformación irreversible de los productos químicos necesarios para garantizar que al ser eliminados no exhiban las características de contaminantes orgánicos persistentes.  </w:t>
            </w:r>
          </w:p>
          <w:p w:rsidR="00E315AC" w:rsidRPr="00A833B0" w:rsidRDefault="00E315AC" w:rsidP="00B63EB2">
            <w:pPr>
              <w:pStyle w:val="Decisionparagraphs"/>
              <w:keepNext w:val="0"/>
              <w:tabs>
                <w:tab w:val="clear" w:pos="624"/>
              </w:tabs>
              <w:spacing w:after="60"/>
              <w:ind w:left="60" w:hanging="60"/>
              <w:rPr>
                <w:lang w:val="es-ES"/>
              </w:rPr>
            </w:pPr>
            <w:r w:rsidRPr="00A833B0">
              <w:rPr>
                <w:lang w:val="es-ES"/>
              </w:rPr>
              <w:t xml:space="preserve">2 c) Determinar qué métodos de </w:t>
            </w:r>
            <w:r w:rsidRPr="00A833B0">
              <w:rPr>
                <w:lang w:val="es-ES"/>
              </w:rPr>
              <w:lastRenderedPageBreak/>
              <w:t xml:space="preserve">eliminación constituyen la eliminación ambientalmente racional y establecer, cuando proceda, los niveles de concentración de esos productos químicos para definir el bajo contenido de contaminante orgánico persistente a que se hace referencia en el párrafo 1 d) </w:t>
            </w:r>
            <w:proofErr w:type="spellStart"/>
            <w:r w:rsidRPr="00A833B0">
              <w:rPr>
                <w:lang w:val="es-ES"/>
              </w:rPr>
              <w:t>ii</w:t>
            </w:r>
            <w:proofErr w:type="spellEnd"/>
            <w:r w:rsidRPr="00A833B0">
              <w:rPr>
                <w:lang w:val="es-ES"/>
              </w:rPr>
              <w:t>) del artículo 6 del Convenio de Estocolmo en relación con ellos.</w:t>
            </w:r>
          </w:p>
          <w:p w:rsidR="00E315AC" w:rsidRPr="00A833B0" w:rsidRDefault="00E315AC" w:rsidP="00B63EB2">
            <w:pPr>
              <w:pStyle w:val="Decisionparagraphs"/>
              <w:keepNext w:val="0"/>
              <w:tabs>
                <w:tab w:val="clear" w:pos="624"/>
              </w:tabs>
              <w:spacing w:after="60"/>
              <w:ind w:left="60" w:hanging="60"/>
              <w:rPr>
                <w:b/>
                <w:bCs/>
                <w:lang w:val="es-ES"/>
              </w:rPr>
            </w:pPr>
            <w:r w:rsidRPr="00A833B0">
              <w:rPr>
                <w:lang w:val="es-ES"/>
              </w:rPr>
              <w:t xml:space="preserve">2 d) Considerar la enmienda de las entradas del anexo VIII del Convenio de Basilea, relacionadas con los </w:t>
            </w:r>
            <w:proofErr w:type="spellStart"/>
            <w:r w:rsidRPr="00A833B0">
              <w:rPr>
                <w:lang w:val="es-ES"/>
              </w:rPr>
              <w:t>dibenzofuranos</w:t>
            </w:r>
            <w:proofErr w:type="spellEnd"/>
            <w:r w:rsidRPr="00A833B0">
              <w:rPr>
                <w:lang w:val="es-ES"/>
              </w:rPr>
              <w:t xml:space="preserve"> </w:t>
            </w:r>
            <w:proofErr w:type="spellStart"/>
            <w:r w:rsidRPr="00A833B0">
              <w:rPr>
                <w:lang w:val="es-ES"/>
              </w:rPr>
              <w:t>policlorados</w:t>
            </w:r>
            <w:proofErr w:type="spellEnd"/>
            <w:r w:rsidRPr="00A833B0">
              <w:rPr>
                <w:lang w:val="es-ES"/>
              </w:rPr>
              <w:t xml:space="preserve"> y las </w:t>
            </w:r>
            <w:proofErr w:type="spellStart"/>
            <w:r w:rsidRPr="00A833B0">
              <w:rPr>
                <w:lang w:val="es-ES"/>
              </w:rPr>
              <w:t>dibenzodioxinas</w:t>
            </w:r>
            <w:proofErr w:type="spellEnd"/>
            <w:r w:rsidRPr="00A833B0">
              <w:rPr>
                <w:lang w:val="es-ES"/>
              </w:rPr>
              <w:t xml:space="preserve"> </w:t>
            </w:r>
            <w:proofErr w:type="spellStart"/>
            <w:r w:rsidRPr="00A833B0">
              <w:rPr>
                <w:lang w:val="es-ES"/>
              </w:rPr>
              <w:t>policloradas</w:t>
            </w:r>
            <w:proofErr w:type="spellEnd"/>
            <w:r w:rsidRPr="00A833B0">
              <w:rPr>
                <w:lang w:val="es-ES"/>
              </w:rPr>
              <w:t xml:space="preserve"> (entrada A4110), el DDT y otros contaminantes orgánicos persistentes pertinentes, a fin de incluir niveles de concentración para esos productos químicos, una vez que se haya definido un marco apropiado para determinar las concentraciones mínimas.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  <w:r w:rsidRPr="00A833B0">
              <w:rPr>
                <w:lang w:val="es-ES"/>
              </w:rPr>
              <w:lastRenderedPageBreak/>
              <w:t>BC</w:t>
            </w:r>
            <w:r w:rsidRPr="00A833B0">
              <w:rPr>
                <w:lang w:val="es-ES"/>
              </w:rPr>
              <w:noBreakHyphen/>
              <w:t>10/9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  <w:r w:rsidRPr="00A833B0">
              <w:rPr>
                <w:strike w:val="0"/>
                <w:sz w:val="20"/>
                <w:szCs w:val="20"/>
                <w:lang w:val="es-ES"/>
              </w:rPr>
              <w:t>Alta</w:t>
            </w: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  <w:r w:rsidRPr="00A833B0">
              <w:rPr>
                <w:strike w:val="0"/>
                <w:sz w:val="20"/>
                <w:szCs w:val="20"/>
                <w:lang w:val="es-ES"/>
              </w:rPr>
              <w:lastRenderedPageBreak/>
              <w:t>Alta</w:t>
            </w: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  <w:r w:rsidRPr="00A833B0">
              <w:rPr>
                <w:strike w:val="0"/>
                <w:sz w:val="20"/>
                <w:szCs w:val="20"/>
                <w:lang w:val="es-ES"/>
              </w:rPr>
              <w:t>Alta</w:t>
            </w: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</w:p>
          <w:p w:rsidR="00E315AC" w:rsidRPr="00A833B0" w:rsidRDefault="00E315AC" w:rsidP="00B63EB2">
            <w:pPr>
              <w:pStyle w:val="StyleLatin9ptBlueStrikethroughBefore3ptAfter3pt"/>
              <w:tabs>
                <w:tab w:val="clear" w:pos="1247"/>
                <w:tab w:val="clear" w:pos="1814"/>
                <w:tab w:val="clear" w:pos="2381"/>
                <w:tab w:val="clear" w:pos="2948"/>
                <w:tab w:val="clear" w:pos="3515"/>
              </w:tabs>
              <w:spacing w:before="0"/>
              <w:rPr>
                <w:strike w:val="0"/>
                <w:sz w:val="20"/>
                <w:szCs w:val="20"/>
                <w:lang w:val="es-ES"/>
              </w:rPr>
            </w:pPr>
            <w:r w:rsidRPr="00A833B0">
              <w:rPr>
                <w:strike w:val="0"/>
                <w:sz w:val="20"/>
                <w:szCs w:val="20"/>
                <w:lang w:val="es-ES"/>
              </w:rPr>
              <w:t>Alta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Lines="60"/>
              <w:rPr>
                <w:lang w:val="es-ES"/>
              </w:rPr>
            </w:pPr>
            <w:r w:rsidRPr="00A833B0">
              <w:rPr>
                <w:lang w:val="es-ES"/>
              </w:rPr>
              <w:lastRenderedPageBreak/>
              <w:t xml:space="preserve">C.  </w:t>
            </w:r>
            <w:proofErr w:type="spellStart"/>
            <w:r w:rsidRPr="00A833B0">
              <w:rPr>
                <w:lang w:val="es-ES"/>
              </w:rPr>
              <w:t>Clasifiicación</w:t>
            </w:r>
            <w:proofErr w:type="spellEnd"/>
            <w:r w:rsidRPr="00A833B0">
              <w:rPr>
                <w:lang w:val="es-ES"/>
              </w:rPr>
              <w:t xml:space="preserve"> y caracterización del peligro de los desechos 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1.  Considerar y examinar toda solicitud de cambios y correcciones de la lista de desechos de los anexos VIII y IX.  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VIII/15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Lines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  <w:tr w:rsidR="00E315AC" w:rsidRPr="00A833B0" w:rsidTr="00B63EB2"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Lines="60"/>
              <w:rPr>
                <w:lang w:val="es-E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2.  Examinar la enmienda de inscripciones relativas a los contaminantes orgánicos persistentes.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10/9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Lines="60"/>
              <w:rPr>
                <w:lang w:val="es-E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3.  Impartir orientación respecto de la identificación de los desechos en el Sistema Armonizado de Designación y Codificación de Mercancías de la Organización Mundial de Aduanas y las cuestiones conexas.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Lines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10/10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Lines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</w:tbl>
    <w:p w:rsidR="00E315AC" w:rsidRPr="00A833B0" w:rsidRDefault="00E315AC" w:rsidP="00E315AC">
      <w:pPr>
        <w:rPr>
          <w:lang w:val="es-ES"/>
        </w:rPr>
      </w:pPr>
    </w:p>
    <w:p w:rsidR="00E315AC" w:rsidRPr="00A833B0" w:rsidRDefault="00E315AC" w:rsidP="00E315AC">
      <w:pPr>
        <w:rPr>
          <w:lang w:val="es-ES"/>
        </w:rPr>
      </w:pPr>
    </w:p>
    <w:tbl>
      <w:tblPr>
        <w:tblW w:w="8448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3648"/>
        <w:gridCol w:w="1800"/>
        <w:gridCol w:w="1080"/>
      </w:tblGrid>
      <w:tr w:rsidR="00E315AC" w:rsidRPr="00A833B0" w:rsidTr="00B63EB2">
        <w:trPr>
          <w:tblHeader/>
        </w:trPr>
        <w:tc>
          <w:tcPr>
            <w:tcW w:w="8448" w:type="dxa"/>
            <w:gridSpan w:val="4"/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i w:val="0"/>
                <w:sz w:val="20"/>
                <w:lang w:val="es-ES"/>
              </w:rPr>
            </w:pPr>
            <w:r w:rsidRPr="00A833B0">
              <w:rPr>
                <w:sz w:val="20"/>
                <w:lang w:val="es-ES"/>
              </w:rPr>
              <w:t xml:space="preserve">III.  </w:t>
            </w:r>
            <w:r w:rsidRPr="00A833B0">
              <w:rPr>
                <w:sz w:val="20"/>
                <w:lang w:val="es-ES"/>
              </w:rPr>
              <w:tab/>
              <w:t>Cuestiones jurídicas y relativas al cumplimiento y la gobernanza</w:t>
            </w:r>
          </w:p>
        </w:tc>
      </w:tr>
      <w:tr w:rsidR="00E315AC" w:rsidRPr="00A833B0" w:rsidTr="00B63EB2">
        <w:trPr>
          <w:tblHeader/>
        </w:trPr>
        <w:tc>
          <w:tcPr>
            <w:tcW w:w="1920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648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</w:tc>
        <w:tc>
          <w:tcPr>
            <w:tcW w:w="1800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080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rPr>
          <w:cantSplit/>
        </w:trPr>
        <w:tc>
          <w:tcPr>
            <w:tcW w:w="1920" w:type="dxa"/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lastRenderedPageBreak/>
              <w:t>A.  Seguimiento de la Iniciativa patrocinada por Indonesia y Suiza</w:t>
            </w:r>
          </w:p>
        </w:tc>
        <w:tc>
          <w:tcPr>
            <w:tcW w:w="3648" w:type="dxa"/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1.  Elaborar un proyecto de orientaciones que proporcionen a las autoridades nacionales, los centros regionales y todos los demás interesados directos asesoramiento coherente respecto de la interpretación de ciertos términos, teniendo en cuenta el informe de la Secretaría y aprovechando las orientaciones disponibles y los ejemplos de buenas prácticas que se detallan en el párrafo 4, sección C, de la decisión BC</w:t>
            </w:r>
            <w:r w:rsidRPr="00A833B0">
              <w:rPr>
                <w:lang w:val="es-ES"/>
              </w:rPr>
              <w:noBreakHyphen/>
              <w:t xml:space="preserve">10/3.  </w:t>
            </w:r>
          </w:p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2.  Impartir orientación a la Secretaría en la preparación de un estudio en el que se establezcan opciones para solucionar los problemas que representan los bienes usados y al final de su vida útil, que podría incluir obligaciones de aceptación de la devolución y una aclaración del concepto de “donaciones caritativas”.</w:t>
            </w:r>
          </w:p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(Nota</w:t>
            </w:r>
            <w:proofErr w:type="gramStart"/>
            <w:r w:rsidRPr="00A833B0">
              <w:rPr>
                <w:lang w:val="es-ES"/>
              </w:rPr>
              <w:t>:  Las</w:t>
            </w:r>
            <w:proofErr w:type="gramEnd"/>
            <w:r w:rsidRPr="00A833B0">
              <w:rPr>
                <w:lang w:val="es-ES"/>
              </w:rPr>
              <w:t xml:space="preserve"> actividades 1 y 2 son transversales y, como tal, también se mencionan en la sección II del programa de trabajo.)</w:t>
            </w:r>
          </w:p>
        </w:tc>
        <w:tc>
          <w:tcPr>
            <w:tcW w:w="1800" w:type="dxa"/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10/3</w:t>
            </w:r>
          </w:p>
        </w:tc>
        <w:tc>
          <w:tcPr>
            <w:tcW w:w="1080" w:type="dxa"/>
          </w:tcPr>
          <w:p w:rsidR="00E315AC" w:rsidRPr="00A833B0" w:rsidRDefault="00E315AC" w:rsidP="00B63EB2">
            <w:pPr>
              <w:spacing w:before="60" w:after="180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</w:tbl>
    <w:p w:rsidR="00E315AC" w:rsidRPr="00A833B0" w:rsidRDefault="00E315AC" w:rsidP="00E315AC">
      <w:pPr>
        <w:rPr>
          <w:lang w:val="es-ES"/>
        </w:rPr>
      </w:pPr>
    </w:p>
    <w:tbl>
      <w:tblPr>
        <w:tblW w:w="8274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3714"/>
        <w:gridCol w:w="1440"/>
        <w:gridCol w:w="1200"/>
      </w:tblGrid>
      <w:tr w:rsidR="00E315AC" w:rsidRPr="00A833B0" w:rsidTr="00B63EB2">
        <w:trPr>
          <w:cantSplit/>
        </w:trPr>
        <w:tc>
          <w:tcPr>
            <w:tcW w:w="82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sz w:val="20"/>
                <w:lang w:val="es-ES"/>
              </w:rPr>
            </w:pPr>
            <w:r w:rsidRPr="00A833B0">
              <w:rPr>
                <w:sz w:val="20"/>
                <w:lang w:val="es-ES"/>
              </w:rPr>
              <w:t xml:space="preserve">IV.  </w:t>
            </w:r>
            <w:r w:rsidRPr="00A833B0">
              <w:rPr>
                <w:sz w:val="20"/>
                <w:lang w:val="es-ES"/>
              </w:rPr>
              <w:tab/>
              <w:t>Movilización de recursos y financiación sostenible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rPr>
          <w:trHeight w:val="60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Movilización de recursos y financiación sostenible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Impartir orientación a la Secretaría sobre el fortalecimiento de la movilización de recursos y el aumento de las contribuciones financieras para la aplicación del Convenio de Basilea.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VIII/34 </w:t>
            </w:r>
          </w:p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</w:tbl>
    <w:p w:rsidR="00E315AC" w:rsidRPr="00A833B0" w:rsidRDefault="00E315AC" w:rsidP="00E315AC">
      <w:pPr>
        <w:rPr>
          <w:lang w:val="es-ES"/>
        </w:rPr>
      </w:pPr>
    </w:p>
    <w:p w:rsidR="00E315AC" w:rsidRPr="00A833B0" w:rsidRDefault="00E315AC" w:rsidP="00E315AC">
      <w:pPr>
        <w:rPr>
          <w:lang w:val="es-ES"/>
        </w:rPr>
      </w:pPr>
    </w:p>
    <w:tbl>
      <w:tblPr>
        <w:tblW w:w="8208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7"/>
        <w:gridCol w:w="3661"/>
        <w:gridCol w:w="1560"/>
        <w:gridCol w:w="1080"/>
      </w:tblGrid>
      <w:tr w:rsidR="00E315AC" w:rsidRPr="00A833B0" w:rsidTr="00B63EB2">
        <w:trPr>
          <w:cantSplit/>
          <w:tblHeader/>
        </w:trPr>
        <w:tc>
          <w:tcPr>
            <w:tcW w:w="82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sz w:val="20"/>
                <w:lang w:val="es-ES"/>
              </w:rPr>
            </w:pPr>
            <w:r w:rsidRPr="00A833B0">
              <w:rPr>
                <w:sz w:val="20"/>
                <w:lang w:val="es-ES"/>
              </w:rPr>
              <w:t>V.</w:t>
            </w:r>
            <w:r w:rsidRPr="00A833B0">
              <w:rPr>
                <w:sz w:val="20"/>
                <w:lang w:val="es-ES"/>
              </w:rPr>
              <w:tab/>
              <w:t>Cooperación y coordinación a nivel internacional</w:t>
            </w:r>
          </w:p>
        </w:tc>
      </w:tr>
      <w:tr w:rsidR="00E315AC" w:rsidRPr="00A833B0" w:rsidTr="00B63EB2">
        <w:trPr>
          <w:tblHeader/>
        </w:trPr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A.  Fomento de la cooperación y la coordinación entre los Convenios de Basilea, Rotterdam y </w:t>
            </w:r>
            <w:r w:rsidRPr="00A833B0">
              <w:rPr>
                <w:lang w:val="es-ES"/>
              </w:rPr>
              <w:lastRenderedPageBreak/>
              <w:t>Estocolmo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lastRenderedPageBreak/>
              <w:t xml:space="preserve">Brindar orientación a la Secretaría, según proceda, sobre la aplicación de las decisiones IX/10, </w:t>
            </w:r>
            <w:proofErr w:type="spellStart"/>
            <w:r w:rsidRPr="00A833B0">
              <w:rPr>
                <w:lang w:val="es-ES"/>
              </w:rPr>
              <w:t>BC.Ex</w:t>
            </w:r>
            <w:proofErr w:type="spellEnd"/>
            <w:r w:rsidRPr="00A833B0">
              <w:rPr>
                <w:lang w:val="es-ES"/>
              </w:rPr>
              <w:t xml:space="preserve"> 1/1 y BC</w:t>
            </w:r>
            <w:r w:rsidRPr="00A833B0">
              <w:rPr>
                <w:lang w:val="es-ES"/>
              </w:rPr>
              <w:noBreakHyphen/>
              <w:t xml:space="preserve">10/29.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IX/10, BC</w:t>
            </w:r>
            <w:r w:rsidRPr="00A833B0">
              <w:rPr>
                <w:lang w:val="es-ES"/>
              </w:rPr>
              <w:noBreakHyphen/>
              <w:t>Ex.1/1 y</w:t>
            </w:r>
          </w:p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10/29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lastRenderedPageBreak/>
              <w:t>B.  Cooperación y coordinación a nivel internacional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Brindar orientación, según proceda, a la Secretaría acerca de los medios para fomentar la cooperación y la coordinación con las organizaciones internacionales y regionales y los acuerdos ambientales multilaterales en esferas de interés para el Convenio.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Media </w:t>
            </w:r>
          </w:p>
        </w:tc>
      </w:tr>
      <w:tr w:rsidR="00E315AC" w:rsidRPr="00A833B0" w:rsidTr="00B63EB2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C.  Gestión ambientalmente racional del desguace de buques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Impartir orientación a la Secretaría sobre los programas para el reciclado sostenible de buques y los acontecimientos relativos al Convenio de Hong Kong, en particular la elaboración de las directrices correspondientes.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  <w:tr w:rsidR="00E315AC" w:rsidRPr="00A833B0" w:rsidTr="00B63EB2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D.  Cooperación entre el Convenio de Basilea y la Organización Marítima Internacional (OMI)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1.  Examinar la versión revisada del análisis jurídico sobre la aplicación del Convenio de Basilea en relación con los desechos peligrosos y otros desechos generados a bordo de buques.</w:t>
            </w:r>
          </w:p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2.  Impartir orientación a la Secretaría sobre las actividades de cooperación con la OMI y la Organización Internacional de Normalización.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10/16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Media</w:t>
            </w:r>
          </w:p>
        </w:tc>
      </w:tr>
      <w:tr w:rsidR="00E315AC" w:rsidRPr="00A833B0" w:rsidTr="00B63EB2"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E.  Programa sobre modalidades de asociación del Convenio de Basilea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Impartir orientación a la Secretaría sobre las iniciativas para aumentar la participación del Convenio en asociaciones y en actividades y proyectos conexos.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keepNext/>
              <w:keepLines/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 xml:space="preserve">Media </w:t>
            </w:r>
          </w:p>
        </w:tc>
      </w:tr>
    </w:tbl>
    <w:p w:rsidR="00E315AC" w:rsidRDefault="00E315AC" w:rsidP="00E315AC">
      <w:pPr>
        <w:rPr>
          <w:lang w:val="es-ES"/>
        </w:rPr>
      </w:pPr>
    </w:p>
    <w:p w:rsidR="00E315AC" w:rsidRPr="00A833B0" w:rsidRDefault="00E315AC" w:rsidP="00E315AC">
      <w:pPr>
        <w:rPr>
          <w:lang w:val="es-ES"/>
        </w:rPr>
      </w:pPr>
      <w:r>
        <w:rPr>
          <w:lang w:val="es-ES"/>
        </w:rPr>
        <w:br w:type="page"/>
      </w:r>
    </w:p>
    <w:tbl>
      <w:tblPr>
        <w:tblW w:w="8160" w:type="dxa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20"/>
        <w:gridCol w:w="3600"/>
        <w:gridCol w:w="1560"/>
        <w:gridCol w:w="1080"/>
      </w:tblGrid>
      <w:tr w:rsidR="00E315AC" w:rsidRPr="00A833B0" w:rsidTr="00B63EB2">
        <w:trPr>
          <w:cantSplit/>
        </w:trPr>
        <w:tc>
          <w:tcPr>
            <w:tcW w:w="8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iCs w:val="0"/>
                <w:sz w:val="20"/>
                <w:lang w:val="es-ES"/>
              </w:rPr>
            </w:pPr>
            <w:r w:rsidRPr="00A833B0">
              <w:rPr>
                <w:sz w:val="20"/>
                <w:lang w:val="es-ES"/>
              </w:rPr>
              <w:lastRenderedPageBreak/>
              <w:t xml:space="preserve">VI.  </w:t>
            </w:r>
            <w:r w:rsidRPr="00A833B0">
              <w:rPr>
                <w:sz w:val="20"/>
                <w:lang w:val="es-ES"/>
              </w:rPr>
              <w:tab/>
              <w:t>Asuntos financieros</w:t>
            </w:r>
          </w:p>
        </w:tc>
      </w:tr>
      <w:tr w:rsidR="00E315AC" w:rsidRPr="00A833B0" w:rsidTr="00B63EB2"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5AC" w:rsidRPr="00A833B0" w:rsidRDefault="00E315AC" w:rsidP="00B63EB2">
            <w:pPr>
              <w:keepNext/>
              <w:keepLines/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rPr>
          <w:trHeight w:val="579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Presupuesto por programas y otras cuestiones financieras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1.  Impartir orientación sobre la preparación del presupuesto por programas para 2014–2015 y las cuestiones financieras conexas, y examinar su preparación.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BC</w:t>
            </w:r>
            <w:r w:rsidRPr="00A833B0">
              <w:rPr>
                <w:lang w:val="es-ES"/>
              </w:rPr>
              <w:noBreakHyphen/>
              <w:t>10/27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  <w:tr w:rsidR="00E315AC" w:rsidRPr="00A833B0" w:rsidTr="00B63EB2">
        <w:trPr>
          <w:trHeight w:val="435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2.  Examinar los informes de la Secretaría sobre cuestiones financieras y administrativas.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</w:tr>
    </w:tbl>
    <w:p w:rsidR="00E315AC" w:rsidRPr="00A833B0" w:rsidRDefault="00E315AC" w:rsidP="00E315AC">
      <w:pPr>
        <w:rPr>
          <w:lang w:val="es-ES"/>
        </w:rPr>
      </w:pPr>
    </w:p>
    <w:tbl>
      <w:tblPr>
        <w:tblW w:w="8160" w:type="dxa"/>
        <w:tblInd w:w="1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36"/>
        <w:gridCol w:w="3484"/>
        <w:gridCol w:w="1560"/>
        <w:gridCol w:w="1080"/>
      </w:tblGrid>
      <w:tr w:rsidR="00E315AC" w:rsidRPr="00A833B0" w:rsidTr="00B63EB2">
        <w:trPr>
          <w:cantSplit/>
          <w:trHeight w:val="382"/>
        </w:trPr>
        <w:tc>
          <w:tcPr>
            <w:tcW w:w="8160" w:type="dxa"/>
            <w:gridSpan w:val="4"/>
          </w:tcPr>
          <w:p w:rsidR="00E315AC" w:rsidRPr="00A833B0" w:rsidRDefault="00E315AC" w:rsidP="00B63EB2">
            <w:pPr>
              <w:pStyle w:val="Heading5"/>
              <w:spacing w:before="120" w:after="120"/>
              <w:rPr>
                <w:sz w:val="20"/>
                <w:lang w:val="es-ES"/>
              </w:rPr>
            </w:pPr>
            <w:r w:rsidRPr="00A833B0">
              <w:rPr>
                <w:lang w:val="es-ES"/>
              </w:rPr>
              <w:br w:type="page"/>
            </w:r>
            <w:r w:rsidRPr="00A833B0">
              <w:rPr>
                <w:sz w:val="20"/>
                <w:lang w:val="es-ES"/>
              </w:rPr>
              <w:t xml:space="preserve">VII.  </w:t>
            </w:r>
            <w:r w:rsidRPr="00A833B0">
              <w:rPr>
                <w:sz w:val="20"/>
                <w:lang w:val="es-ES"/>
              </w:rPr>
              <w:tab/>
              <w:t>Decisiones de la Conferencia de las Partes</w:t>
            </w:r>
          </w:p>
        </w:tc>
      </w:tr>
      <w:tr w:rsidR="00E315AC" w:rsidRPr="00A833B0" w:rsidTr="00B63EB2">
        <w:trPr>
          <w:trHeight w:val="157"/>
        </w:trPr>
        <w:tc>
          <w:tcPr>
            <w:tcW w:w="2036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Temas</w:t>
            </w:r>
          </w:p>
        </w:tc>
        <w:tc>
          <w:tcPr>
            <w:tcW w:w="3484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Actividades</w:t>
            </w:r>
          </w:p>
        </w:tc>
        <w:tc>
          <w:tcPr>
            <w:tcW w:w="1560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Decisiones de la Conferencia de las Partes</w:t>
            </w:r>
          </w:p>
        </w:tc>
        <w:tc>
          <w:tcPr>
            <w:tcW w:w="1080" w:type="dxa"/>
            <w:vAlign w:val="center"/>
          </w:tcPr>
          <w:p w:rsidR="00E315AC" w:rsidRPr="00A833B0" w:rsidRDefault="00E315AC" w:rsidP="00B63EB2">
            <w:pPr>
              <w:jc w:val="center"/>
              <w:rPr>
                <w:b/>
                <w:bCs/>
                <w:lang w:val="es-ES"/>
              </w:rPr>
            </w:pPr>
            <w:r w:rsidRPr="00A833B0">
              <w:rPr>
                <w:b/>
                <w:bCs/>
                <w:lang w:val="es-ES"/>
              </w:rPr>
              <w:t>Prioridad</w:t>
            </w:r>
          </w:p>
        </w:tc>
      </w:tr>
      <w:tr w:rsidR="00E315AC" w:rsidRPr="00A833B0" w:rsidTr="00B63EB2">
        <w:trPr>
          <w:trHeight w:val="247"/>
        </w:trPr>
        <w:tc>
          <w:tcPr>
            <w:tcW w:w="2036" w:type="dxa"/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Proyectos de decisión de la Conferencia de las Partes</w:t>
            </w:r>
          </w:p>
        </w:tc>
        <w:tc>
          <w:tcPr>
            <w:tcW w:w="3484" w:type="dxa"/>
          </w:tcPr>
          <w:p w:rsidR="00E315AC" w:rsidRPr="00A833B0" w:rsidRDefault="00E315AC" w:rsidP="00B63EB2">
            <w:pPr>
              <w:spacing w:before="40" w:after="60"/>
              <w:rPr>
                <w:lang w:val="es-ES"/>
              </w:rPr>
            </w:pPr>
            <w:r w:rsidRPr="00A833B0">
              <w:rPr>
                <w:lang w:val="es-ES"/>
              </w:rPr>
              <w:t>Examinar y presentar proyectos de decisión para su posible examen y aprobación por la Conferencia de las Partes en su 11ª reunión.</w:t>
            </w:r>
          </w:p>
        </w:tc>
        <w:tc>
          <w:tcPr>
            <w:tcW w:w="1560" w:type="dxa"/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</w:p>
        </w:tc>
        <w:tc>
          <w:tcPr>
            <w:tcW w:w="1080" w:type="dxa"/>
          </w:tcPr>
          <w:p w:rsidR="00E315AC" w:rsidRPr="00A833B0" w:rsidRDefault="00E315AC" w:rsidP="00B63EB2">
            <w:pPr>
              <w:spacing w:before="60" w:after="60"/>
              <w:rPr>
                <w:lang w:val="es-ES"/>
              </w:rPr>
            </w:pPr>
            <w:r w:rsidRPr="00A833B0">
              <w:rPr>
                <w:lang w:val="es-ES"/>
              </w:rPr>
              <w:t>Alta</w:t>
            </w:r>
          </w:p>
        </w:tc>
      </w:tr>
    </w:tbl>
    <w:p w:rsidR="0068546C" w:rsidRDefault="0068546C"/>
    <w:sectPr w:rsidR="0068546C" w:rsidSect="00685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compat/>
  <w:rsids>
    <w:rsidRoot w:val="00E315AC"/>
    <w:rsid w:val="0068546C"/>
    <w:rsid w:val="00E31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5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E315A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E315AC"/>
    <w:rPr>
      <w:rFonts w:ascii="Times New Roman" w:eastAsia="Times New Roman" w:hAnsi="Times New Roman" w:cs="Times New Roman"/>
      <w:b/>
      <w:bCs/>
      <w:i/>
      <w:iCs/>
      <w:sz w:val="26"/>
      <w:szCs w:val="26"/>
      <w:lang w:val="en-GB"/>
    </w:rPr>
  </w:style>
  <w:style w:type="paragraph" w:customStyle="1" w:styleId="Decisionparagraphs">
    <w:name w:val="Decision paragraphs"/>
    <w:basedOn w:val="Normal"/>
    <w:rsid w:val="00E315AC"/>
    <w:pPr>
      <w:keepNext/>
      <w:tabs>
        <w:tab w:val="left" w:pos="624"/>
      </w:tabs>
      <w:spacing w:after="120"/>
      <w:ind w:left="1247" w:firstLine="624"/>
    </w:pPr>
  </w:style>
  <w:style w:type="character" w:customStyle="1" w:styleId="sentencecolor4">
    <w:name w:val="sentencecolor4"/>
    <w:basedOn w:val="DefaultParagraphFont"/>
    <w:rsid w:val="00E315AC"/>
  </w:style>
  <w:style w:type="paragraph" w:customStyle="1" w:styleId="NormalNonumber">
    <w:name w:val="Normal_No_number"/>
    <w:basedOn w:val="Normal"/>
    <w:link w:val="NormalNonumberChar"/>
    <w:rsid w:val="00E315A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120"/>
      <w:ind w:left="1247"/>
    </w:pPr>
  </w:style>
  <w:style w:type="paragraph" w:customStyle="1" w:styleId="BBTitle">
    <w:name w:val="BB_Title"/>
    <w:basedOn w:val="Normal"/>
    <w:rsid w:val="00E315AC"/>
    <w:pPr>
      <w:keepNext/>
      <w:keepLines/>
      <w:tabs>
        <w:tab w:val="left" w:pos="1247"/>
        <w:tab w:val="left" w:pos="1814"/>
        <w:tab w:val="left" w:pos="2381"/>
        <w:tab w:val="left" w:pos="2948"/>
        <w:tab w:val="left" w:pos="3515"/>
      </w:tabs>
      <w:suppressAutoHyphens/>
      <w:spacing w:before="320" w:after="240"/>
      <w:ind w:left="1247" w:right="567"/>
    </w:pPr>
    <w:rPr>
      <w:b/>
      <w:sz w:val="28"/>
      <w:szCs w:val="28"/>
    </w:rPr>
  </w:style>
  <w:style w:type="character" w:customStyle="1" w:styleId="NormalNonumberChar">
    <w:name w:val="Normal_No_number Char"/>
    <w:link w:val="NormalNonumber"/>
    <w:rsid w:val="00E315AC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Latin9ptBlueStrikethroughBefore3ptAfter3pt">
    <w:name w:val="Style (Latin) 9 pt Blue Strikethrough Before:  3 pt After:  3 pt"/>
    <w:basedOn w:val="Normal"/>
    <w:rsid w:val="00E315AC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before="60" w:after="60"/>
    </w:pPr>
    <w:rPr>
      <w:rFonts w:eastAsia="MS Mincho"/>
      <w:strike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1373</Words>
  <Characters>7831</Characters>
  <Application>Microsoft Office Word</Application>
  <DocSecurity>0</DocSecurity>
  <Lines>65</Lines>
  <Paragraphs>18</Paragraphs>
  <ScaleCrop>false</ScaleCrop>
  <Company>BRS</Company>
  <LinksUpToDate>false</LinksUpToDate>
  <CharactersWithSpaces>9186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2018-02-20T13:44:00Z</dcterms:created>
  <dcterms:modified xsi:type="dcterms:W3CDTF">2018-02-20T13:45:00Z</dcterms:modified>
</cp:coreProperties>
</file>