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A6E" w:rsidRPr="00C41325" w:rsidRDefault="003B0A6E" w:rsidP="003B0A6E">
      <w:pPr>
        <w:spacing w:before="240" w:after="180" w:line="400" w:lineRule="exact"/>
        <w:ind w:left="1440"/>
        <w:jc w:val="both"/>
        <w:rPr>
          <w:rFonts w:cs="Traditional Arabic"/>
          <w:b/>
          <w:bCs/>
          <w:color w:val="000000"/>
          <w:sz w:val="32"/>
          <w:szCs w:val="32"/>
          <w:rtl/>
        </w:rPr>
      </w:pPr>
      <w:r w:rsidRPr="00C41325">
        <w:rPr>
          <w:rFonts w:cs="Traditional Arabic"/>
          <w:b/>
          <w:bCs/>
          <w:color w:val="000000"/>
          <w:sz w:val="32"/>
          <w:szCs w:val="32"/>
          <w:rtl/>
        </w:rPr>
        <w:t xml:space="preserve">المقرر ا ب </w:t>
      </w:r>
      <w:r>
        <w:rPr>
          <w:rFonts w:cs="Traditional Arabic" w:hint="cs"/>
          <w:b/>
          <w:bCs/>
          <w:color w:val="000000"/>
          <w:sz w:val="32"/>
          <w:szCs w:val="32"/>
          <w:rtl/>
        </w:rPr>
        <w:t>-</w:t>
      </w:r>
      <w:r w:rsidRPr="00C41325">
        <w:rPr>
          <w:rFonts w:cs="Traditional Arabic"/>
          <w:b/>
          <w:bCs/>
          <w:color w:val="000000"/>
          <w:sz w:val="32"/>
          <w:szCs w:val="32"/>
          <w:rtl/>
        </w:rPr>
        <w:t xml:space="preserve"> 10/5: المبادئ التوجيهية التقنية المتعلقة بنقل النفايات الإلكترونية والكهربائية عبر الحدود، وبخاصة ما يتعلق بالتمييز بين النفايات وغير النفايات</w:t>
      </w:r>
    </w:p>
    <w:p w:rsidR="003B0A6E" w:rsidRPr="00BB23EF" w:rsidRDefault="003B0A6E" w:rsidP="003B0A6E">
      <w:pPr>
        <w:spacing w:after="120" w:line="400" w:lineRule="exact"/>
        <w:ind w:left="2160"/>
        <w:jc w:val="both"/>
        <w:rPr>
          <w:rFonts w:cs="Traditional Arabic"/>
          <w:i/>
          <w:iCs/>
          <w:sz w:val="20"/>
          <w:szCs w:val="30"/>
        </w:rPr>
      </w:pPr>
      <w:r w:rsidRPr="00BB23EF">
        <w:rPr>
          <w:rFonts w:cs="Traditional Arabic"/>
          <w:i/>
          <w:iCs/>
          <w:sz w:val="20"/>
          <w:szCs w:val="30"/>
          <w:rtl/>
        </w:rPr>
        <w:t>إن مؤتمر الأطراف،</w:t>
      </w:r>
    </w:p>
    <w:p w:rsidR="003B0A6E" w:rsidRPr="00BB23EF" w:rsidRDefault="003B0A6E" w:rsidP="003B0A6E">
      <w:pPr>
        <w:spacing w:after="120" w:line="400" w:lineRule="exact"/>
        <w:ind w:left="1440" w:firstLine="720"/>
        <w:jc w:val="both"/>
        <w:rPr>
          <w:rFonts w:cs="Traditional Arabic"/>
          <w:sz w:val="20"/>
          <w:szCs w:val="30"/>
          <w:rtl/>
        </w:rPr>
      </w:pPr>
      <w:r w:rsidRPr="00BB23EF">
        <w:rPr>
          <w:rFonts w:cs="Traditional Arabic"/>
          <w:sz w:val="20"/>
          <w:szCs w:val="30"/>
          <w:rtl/>
        </w:rPr>
        <w:t>1 -</w:t>
      </w:r>
      <w:r w:rsidRPr="00BB23EF">
        <w:rPr>
          <w:rFonts w:cs="Traditional Arabic"/>
          <w:sz w:val="20"/>
          <w:szCs w:val="30"/>
          <w:rtl/>
        </w:rPr>
        <w:tab/>
      </w:r>
      <w:r w:rsidRPr="00BB23EF">
        <w:rPr>
          <w:rFonts w:cs="Traditional Arabic"/>
          <w:i/>
          <w:iCs/>
          <w:sz w:val="20"/>
          <w:szCs w:val="30"/>
          <w:rtl/>
        </w:rPr>
        <w:t>يأخذ علماً</w:t>
      </w:r>
      <w:r w:rsidRPr="00BB23EF">
        <w:rPr>
          <w:rFonts w:cs="Traditional Arabic"/>
          <w:sz w:val="20"/>
          <w:szCs w:val="30"/>
          <w:rtl/>
        </w:rPr>
        <w:t xml:space="preserve"> بالمعلومات المقدمة من الأمانة بشأن التقدم المحرز في وضع المبادئ التوجيهية التقنية لنقل النفايات الإلكترونية والكهربائية عبر الحدود، وبخاصة ما يتعلق بالتمييز بين النفايات وغير النفايات؛</w:t>
      </w:r>
      <w:r w:rsidRPr="00BB23EF">
        <w:rPr>
          <w:rFonts w:cs="Traditional Arabic"/>
          <w:sz w:val="20"/>
          <w:szCs w:val="30"/>
          <w:vertAlign w:val="superscript"/>
          <w:rtl/>
        </w:rPr>
        <w:t>(</w:t>
      </w:r>
      <w:r w:rsidRPr="00BB23EF">
        <w:rPr>
          <w:rStyle w:val="FootnoteReference"/>
          <w:rFonts w:cs="Traditional Arabic"/>
          <w:sz w:val="20"/>
          <w:szCs w:val="30"/>
          <w:rtl/>
        </w:rPr>
        <w:footnoteReference w:id="1"/>
      </w:r>
      <w:r w:rsidRPr="00BB23EF">
        <w:rPr>
          <w:rFonts w:cs="Traditional Arabic"/>
          <w:sz w:val="20"/>
          <w:szCs w:val="30"/>
          <w:vertAlign w:val="superscript"/>
          <w:rtl/>
        </w:rPr>
        <w:t>)</w:t>
      </w:r>
    </w:p>
    <w:p w:rsidR="003B0A6E" w:rsidRPr="00BB23EF" w:rsidRDefault="003B0A6E" w:rsidP="003B0A6E">
      <w:pPr>
        <w:spacing w:after="120" w:line="400" w:lineRule="exact"/>
        <w:ind w:left="1440" w:firstLine="720"/>
        <w:jc w:val="both"/>
        <w:rPr>
          <w:rFonts w:cs="Traditional Arabic"/>
          <w:sz w:val="20"/>
          <w:szCs w:val="30"/>
          <w:rtl/>
        </w:rPr>
      </w:pPr>
      <w:r w:rsidRPr="00BB23EF">
        <w:rPr>
          <w:rFonts w:cs="Traditional Arabic"/>
          <w:sz w:val="20"/>
          <w:szCs w:val="30"/>
          <w:rtl/>
        </w:rPr>
        <w:t>2 -</w:t>
      </w:r>
      <w:r w:rsidRPr="00BB23EF">
        <w:rPr>
          <w:rFonts w:cs="Traditional Arabic"/>
          <w:sz w:val="20"/>
          <w:szCs w:val="30"/>
          <w:rtl/>
        </w:rPr>
        <w:tab/>
      </w:r>
      <w:r w:rsidRPr="00BB23EF">
        <w:rPr>
          <w:rFonts w:cs="Traditional Arabic"/>
          <w:i/>
          <w:iCs/>
          <w:sz w:val="20"/>
          <w:szCs w:val="30"/>
          <w:rtl/>
        </w:rPr>
        <w:t xml:space="preserve">يدعو </w:t>
      </w:r>
      <w:r w:rsidRPr="00BB23EF">
        <w:rPr>
          <w:rFonts w:cs="Traditional Arabic"/>
          <w:sz w:val="20"/>
          <w:szCs w:val="30"/>
          <w:rtl/>
        </w:rPr>
        <w:t>الأطراف إلى أن تنظر في تولي مهام القيادة لمواصلة وضع المبادئ التوجيهية التقنية وإبلاغ الأمانة بحلول يوم 31 كانون الثاني/يناير 2012 برغبتها في القيام بذلك؛</w:t>
      </w:r>
    </w:p>
    <w:p w:rsidR="003B0A6E" w:rsidRPr="00BB23EF" w:rsidRDefault="003B0A6E" w:rsidP="003B0A6E">
      <w:pPr>
        <w:spacing w:after="120" w:line="400" w:lineRule="exact"/>
        <w:ind w:left="1440" w:firstLine="720"/>
        <w:jc w:val="both"/>
        <w:rPr>
          <w:rFonts w:cs="Traditional Arabic"/>
          <w:sz w:val="20"/>
          <w:szCs w:val="30"/>
          <w:rtl/>
        </w:rPr>
      </w:pPr>
      <w:r w:rsidRPr="00BB23EF">
        <w:rPr>
          <w:rFonts w:cs="Traditional Arabic"/>
          <w:sz w:val="20"/>
          <w:szCs w:val="30"/>
          <w:rtl/>
        </w:rPr>
        <w:t>3 -</w:t>
      </w:r>
      <w:r w:rsidRPr="00BB23EF">
        <w:rPr>
          <w:rFonts w:cs="Traditional Arabic"/>
          <w:sz w:val="20"/>
          <w:szCs w:val="30"/>
          <w:rtl/>
        </w:rPr>
        <w:tab/>
      </w:r>
      <w:r w:rsidRPr="00BB23EF">
        <w:rPr>
          <w:rFonts w:cs="Traditional Arabic"/>
          <w:i/>
          <w:iCs/>
          <w:sz w:val="20"/>
          <w:szCs w:val="30"/>
          <w:rtl/>
        </w:rPr>
        <w:t>يطلب</w:t>
      </w:r>
      <w:r w:rsidRPr="00BB23EF">
        <w:rPr>
          <w:rFonts w:cs="Traditional Arabic"/>
          <w:sz w:val="20"/>
          <w:szCs w:val="30"/>
          <w:rtl/>
        </w:rPr>
        <w:t xml:space="preserve"> إلى البلد القائد، في حال اختياره، أو إلى الأمانة، في حال عدم اختيار بلد قائد إلى القيام بالتشاور مع الفريق المصغر العامل بين الدورات المشار إليه في الفقرة 5 أدناه، ومع مراعاة التعليقات الواردة من الأطراف وأصحاب المصلحة وكذلك الأعمال ذات الصلة للشراكة من أجل العمل بشأن المعدات الحاسوبية، بما في ذلك القسم 3 من وثيقة التوجيهات بشأن الإدارة السليمة بيئياً للمعدات الحاسوبية المستعملة والمنتهية الصلاحية، بصياغة مشروع منقح للمبادئ التوجيهية التقنية بحلول 15 نيسان/أبريل 2012 لينظر فيه الفريق العامل المفتوح العضوية في دورته الثامنة بغرض النظر فيه واعتماده في الاجتماع الحادي عشر لمؤتمر الأطراف؛</w:t>
      </w:r>
    </w:p>
    <w:p w:rsidR="003B0A6E" w:rsidRPr="00BB23EF" w:rsidRDefault="003B0A6E" w:rsidP="003B0A6E">
      <w:pPr>
        <w:spacing w:after="120" w:line="400" w:lineRule="exact"/>
        <w:ind w:left="1440" w:firstLine="720"/>
        <w:jc w:val="both"/>
        <w:rPr>
          <w:rFonts w:cs="Traditional Arabic"/>
          <w:sz w:val="20"/>
          <w:szCs w:val="30"/>
          <w:rtl/>
        </w:rPr>
      </w:pPr>
      <w:r w:rsidRPr="00BB23EF">
        <w:rPr>
          <w:rFonts w:cs="Traditional Arabic"/>
          <w:sz w:val="20"/>
          <w:szCs w:val="30"/>
          <w:rtl/>
        </w:rPr>
        <w:t>4 -</w:t>
      </w:r>
      <w:r w:rsidRPr="00BB23EF">
        <w:rPr>
          <w:rFonts w:cs="Traditional Arabic"/>
          <w:sz w:val="20"/>
          <w:szCs w:val="30"/>
          <w:rtl/>
        </w:rPr>
        <w:tab/>
      </w:r>
      <w:r w:rsidRPr="00BB23EF">
        <w:rPr>
          <w:rFonts w:cs="Traditional Arabic"/>
          <w:i/>
          <w:iCs/>
          <w:sz w:val="20"/>
          <w:szCs w:val="30"/>
          <w:rtl/>
        </w:rPr>
        <w:t>يدعو</w:t>
      </w:r>
      <w:r w:rsidRPr="00BB23EF">
        <w:rPr>
          <w:rFonts w:cs="Traditional Arabic"/>
          <w:sz w:val="20"/>
          <w:szCs w:val="30"/>
          <w:rtl/>
        </w:rPr>
        <w:t xml:space="preserve"> الأطراف وجميع أصحاب المصلحة إلى تقديم تعليقات إلى الأمانة والبلد القائد، في حالة اختياره، بشأن مشروع المبادئ التوجيه</w:t>
      </w:r>
      <w:r>
        <w:rPr>
          <w:rFonts w:cs="Traditional Arabic"/>
          <w:sz w:val="20"/>
          <w:szCs w:val="30"/>
          <w:rtl/>
        </w:rPr>
        <w:t>ية المنقحة بحلول 15 حزيران/يونيه</w:t>
      </w:r>
      <w:r w:rsidRPr="00BB23EF">
        <w:rPr>
          <w:rFonts w:cs="Traditional Arabic"/>
          <w:sz w:val="20"/>
          <w:szCs w:val="30"/>
          <w:rtl/>
        </w:rPr>
        <w:t xml:space="preserve"> 2012؛</w:t>
      </w:r>
    </w:p>
    <w:p w:rsidR="003B0A6E" w:rsidRPr="00BB23EF" w:rsidRDefault="003B0A6E" w:rsidP="003B0A6E">
      <w:pPr>
        <w:spacing w:after="120" w:line="400" w:lineRule="exact"/>
        <w:ind w:left="1440" w:firstLine="720"/>
        <w:jc w:val="both"/>
        <w:rPr>
          <w:rFonts w:cs="Traditional Arabic"/>
          <w:sz w:val="20"/>
          <w:szCs w:val="30"/>
          <w:rtl/>
        </w:rPr>
      </w:pPr>
      <w:r w:rsidRPr="00BB23EF">
        <w:rPr>
          <w:rFonts w:cs="Traditional Arabic"/>
          <w:sz w:val="20"/>
          <w:szCs w:val="30"/>
          <w:rtl/>
        </w:rPr>
        <w:t>5 -</w:t>
      </w:r>
      <w:r w:rsidRPr="00BB23EF">
        <w:rPr>
          <w:rFonts w:cs="Traditional Arabic"/>
          <w:sz w:val="20"/>
          <w:szCs w:val="30"/>
          <w:rtl/>
        </w:rPr>
        <w:tab/>
      </w:r>
      <w:r w:rsidRPr="00BB23EF">
        <w:rPr>
          <w:rFonts w:cs="Traditional Arabic"/>
          <w:i/>
          <w:iCs/>
          <w:sz w:val="20"/>
          <w:szCs w:val="30"/>
          <w:rtl/>
        </w:rPr>
        <w:t>يقرر</w:t>
      </w:r>
      <w:r w:rsidRPr="00BB23EF">
        <w:rPr>
          <w:rFonts w:cs="Traditional Arabic"/>
          <w:sz w:val="20"/>
          <w:szCs w:val="30"/>
          <w:rtl/>
        </w:rPr>
        <w:t xml:space="preserve"> إنشاء فريق مصغر عامل بين الدورات لرصد إعداد المبادئ التوجيهية التقنية المشار إليها في الفقرة 1 أعلاه والمساعدة في هذا العمل، على أن يقوم بأعماله بالوسائل الإلكترونية بصورة محددة؛</w:t>
      </w:r>
    </w:p>
    <w:p w:rsidR="003B0A6E" w:rsidRPr="00BB23EF" w:rsidRDefault="003B0A6E" w:rsidP="003B0A6E">
      <w:pPr>
        <w:spacing w:after="120" w:line="400" w:lineRule="exact"/>
        <w:ind w:left="1440" w:firstLine="720"/>
        <w:jc w:val="both"/>
        <w:rPr>
          <w:rFonts w:cs="Traditional Arabic"/>
          <w:sz w:val="20"/>
          <w:szCs w:val="30"/>
          <w:rtl/>
        </w:rPr>
      </w:pPr>
      <w:r w:rsidRPr="00BB23EF">
        <w:rPr>
          <w:rFonts w:cs="Traditional Arabic"/>
          <w:sz w:val="20"/>
          <w:szCs w:val="30"/>
          <w:rtl/>
        </w:rPr>
        <w:t>6 -</w:t>
      </w:r>
      <w:r w:rsidRPr="00BB23EF">
        <w:rPr>
          <w:rFonts w:cs="Traditional Arabic"/>
          <w:sz w:val="20"/>
          <w:szCs w:val="30"/>
          <w:rtl/>
        </w:rPr>
        <w:tab/>
        <w:t xml:space="preserve"> </w:t>
      </w:r>
      <w:r w:rsidRPr="00BB23EF">
        <w:rPr>
          <w:rFonts w:cs="Traditional Arabic"/>
          <w:i/>
          <w:iCs/>
          <w:sz w:val="20"/>
          <w:szCs w:val="30"/>
          <w:rtl/>
        </w:rPr>
        <w:t>يدعو</w:t>
      </w:r>
      <w:r w:rsidRPr="00BB23EF">
        <w:rPr>
          <w:rFonts w:cs="Traditional Arabic"/>
          <w:sz w:val="20"/>
          <w:szCs w:val="30"/>
          <w:rtl/>
        </w:rPr>
        <w:t xml:space="preserve"> الأطراف وأصحاب المصلحة إلى تسمية خبراء للمشاركة في الفريق المصغر العامل بين الدورات وإبلاغ الأمانة بحلول 31 كانون الثاني/يناير 2012 بهذه التسميات.</w:t>
      </w:r>
    </w:p>
    <w:p w:rsidR="00C778FF" w:rsidRDefault="00C778FF"/>
    <w:sectPr w:rsidR="00C778FF" w:rsidSect="00C778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FC0" w:rsidRDefault="00EF1FC0" w:rsidP="003B0A6E">
      <w:r>
        <w:separator/>
      </w:r>
    </w:p>
  </w:endnote>
  <w:endnote w:type="continuationSeparator" w:id="0">
    <w:p w:rsidR="00EF1FC0" w:rsidRDefault="00EF1FC0" w:rsidP="003B0A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FC0" w:rsidRDefault="00EF1FC0" w:rsidP="003B0A6E">
      <w:r>
        <w:separator/>
      </w:r>
    </w:p>
  </w:footnote>
  <w:footnote w:type="continuationSeparator" w:id="0">
    <w:p w:rsidR="00EF1FC0" w:rsidRDefault="00EF1FC0" w:rsidP="003B0A6E">
      <w:r>
        <w:continuationSeparator/>
      </w:r>
    </w:p>
  </w:footnote>
  <w:footnote w:id="1">
    <w:p w:rsidR="003B0A6E" w:rsidRPr="00781753" w:rsidRDefault="003B0A6E" w:rsidP="003B0A6E">
      <w:pPr>
        <w:pStyle w:val="FootnoteText"/>
        <w:spacing w:after="80" w:line="320" w:lineRule="exact"/>
        <w:ind w:left="1440"/>
        <w:rPr>
          <w:rFonts w:cs="Traditional Arabic"/>
          <w:sz w:val="18"/>
          <w:szCs w:val="26"/>
          <w:rtl/>
        </w:rPr>
      </w:pPr>
      <w:r w:rsidRPr="00781753">
        <w:rPr>
          <w:rFonts w:cs="Traditional Arabic" w:hint="cs"/>
          <w:sz w:val="18"/>
          <w:szCs w:val="26"/>
          <w:rtl/>
        </w:rPr>
        <w:t>(</w:t>
      </w:r>
      <w:r w:rsidRPr="00781753">
        <w:rPr>
          <w:rStyle w:val="FootnoteReference"/>
          <w:rFonts w:cs="Traditional Arabic"/>
          <w:sz w:val="18"/>
          <w:szCs w:val="26"/>
          <w:rtl/>
        </w:rPr>
        <w:footnoteRef/>
      </w:r>
      <w:r w:rsidRPr="00781753">
        <w:rPr>
          <w:rFonts w:cs="Traditional Arabic" w:hint="cs"/>
          <w:sz w:val="18"/>
          <w:szCs w:val="26"/>
          <w:rtl/>
        </w:rPr>
        <w:t>)</w:t>
      </w:r>
      <w:r w:rsidRPr="00781753">
        <w:rPr>
          <w:rFonts w:cs="Traditional Arabic" w:hint="cs"/>
          <w:sz w:val="18"/>
          <w:szCs w:val="26"/>
          <w:rtl/>
        </w:rPr>
        <w:tab/>
      </w:r>
      <w:r w:rsidRPr="00781753">
        <w:rPr>
          <w:rFonts w:cs="Traditional Arabic"/>
          <w:sz w:val="18"/>
          <w:szCs w:val="26"/>
        </w:rPr>
        <w:t>UNEP/CHW.10/6</w:t>
      </w:r>
      <w:r w:rsidRPr="00781753">
        <w:rPr>
          <w:rFonts w:cs="Traditional Arabic" w:hint="cs"/>
          <w:sz w:val="18"/>
          <w:szCs w:val="26"/>
          <w:rtl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0A6E"/>
    <w:rsid w:val="003B0A6E"/>
    <w:rsid w:val="00C778FF"/>
    <w:rsid w:val="00EF1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A6E"/>
    <w:pPr>
      <w:bidi/>
      <w:spacing w:after="0" w:line="240" w:lineRule="auto"/>
    </w:pPr>
    <w:rPr>
      <w:rFonts w:ascii="Times New Roman" w:eastAsia="Times New Roman" w:hAnsi="Times New Roman" w:cs="Simplified Arabic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DNV-FT,Geneva 9,Font: Geneva 9,Boston 10,f,Car,-E Fußnotentext,ft,Fußnote,Fußnotentext Ursprung,fn,footnote text,Footnotes,Footnote ak,fn cafc,Footnotes Char Char,Footnote Text Char Char,fn Char Char,footnote text Char Char Char Ch"/>
    <w:basedOn w:val="Normal"/>
    <w:link w:val="FootnoteTextChar"/>
    <w:semiHidden/>
    <w:rsid w:val="003B0A6E"/>
    <w:rPr>
      <w:sz w:val="20"/>
      <w:szCs w:val="20"/>
    </w:rPr>
  </w:style>
  <w:style w:type="character" w:customStyle="1" w:styleId="FootnoteTextChar">
    <w:name w:val="Footnote Text Char"/>
    <w:aliases w:val="DNV-FT Char,Geneva 9 Char,Font: Geneva 9 Char,Boston 10 Char,f Char,Car Char,-E Fußnotentext Char,ft Char,Fußnote Char,Fußnotentext Ursprung Char,fn Char,footnote text Char,Footnotes Char,Footnote ak Char,fn cafc Char"/>
    <w:basedOn w:val="DefaultParagraphFont"/>
    <w:link w:val="FootnoteText"/>
    <w:semiHidden/>
    <w:rsid w:val="003B0A6E"/>
    <w:rPr>
      <w:rFonts w:ascii="Times New Roman" w:eastAsia="Times New Roman" w:hAnsi="Times New Roman" w:cs="Simplified Arabic"/>
      <w:sz w:val="20"/>
      <w:szCs w:val="20"/>
    </w:rPr>
  </w:style>
  <w:style w:type="character" w:styleId="FootnoteReference">
    <w:name w:val="footnote reference"/>
    <w:aliases w:val="16 Point,Superscript 6 Point,ftref"/>
    <w:basedOn w:val="DefaultParagraphFont"/>
    <w:semiHidden/>
    <w:rsid w:val="003B0A6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1406</Characters>
  <Application>Microsoft Office Word</Application>
  <DocSecurity>0</DocSecurity>
  <Lines>11</Lines>
  <Paragraphs>3</Paragraphs>
  <ScaleCrop>false</ScaleCrop>
  <Company>BRS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2018-02-21T13:27:00Z</dcterms:created>
  <dcterms:modified xsi:type="dcterms:W3CDTF">2018-02-21T13:29:00Z</dcterms:modified>
</cp:coreProperties>
</file>