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0CB" w:rsidRPr="007A6D34" w:rsidRDefault="00C970CB" w:rsidP="00C970CB">
      <w:pPr>
        <w:pStyle w:val="BBTitle"/>
        <w:tabs>
          <w:tab w:val="left" w:pos="624"/>
          <w:tab w:val="left" w:pos="1871"/>
          <w:tab w:val="left" w:pos="2495"/>
          <w:tab w:val="left" w:pos="3119"/>
          <w:tab w:val="left" w:pos="3742"/>
          <w:tab w:val="left" w:pos="4366"/>
          <w:tab w:val="left" w:pos="4990"/>
          <w:tab w:val="left" w:pos="5613"/>
        </w:tabs>
        <w:spacing w:before="240"/>
        <w:jc w:val="both"/>
        <w:rPr>
          <w:sz w:val="21"/>
          <w:szCs w:val="21"/>
          <w:lang w:eastAsia="zh-CN"/>
        </w:rPr>
      </w:pPr>
      <w:bookmarkStart w:id="0" w:name="_GoBack"/>
      <w:bookmarkEnd w:id="0"/>
      <w:r w:rsidRPr="00F714E3">
        <w:rPr>
          <w:lang w:eastAsia="zh-CN"/>
        </w:rPr>
        <w:t>BC-10/5</w:t>
      </w:r>
      <w:r w:rsidRPr="00F714E3">
        <w:rPr>
          <w:rFonts w:hint="eastAsia"/>
          <w:lang w:eastAsia="zh-CN"/>
        </w:rPr>
        <w:t>：</w:t>
      </w:r>
      <w:r w:rsidRPr="00F714E3">
        <w:rPr>
          <w:rFonts w:ascii="SimHei" w:eastAsia="SimHei" w:cs="SimHei" w:hint="eastAsia"/>
          <w:lang w:eastAsia="zh-CN"/>
        </w:rPr>
        <w:t>关于电子和电气废物（电子废物）的越境转移问题</w:t>
      </w:r>
      <w:r w:rsidRPr="00F714E3">
        <w:rPr>
          <w:rFonts w:ascii="SimHei" w:eastAsia="SimHei"/>
          <w:lang w:eastAsia="zh-CN"/>
        </w:rPr>
        <w:t>——</w:t>
      </w:r>
      <w:r w:rsidRPr="00F714E3">
        <w:rPr>
          <w:rFonts w:ascii="SimHei" w:eastAsia="SimHei" w:cs="SimHei" w:hint="eastAsia"/>
          <w:lang w:eastAsia="zh-CN"/>
        </w:rPr>
        <w:t>尤其是废物与非废物之间的区别问题的技术准则</w:t>
      </w:r>
    </w:p>
    <w:p w:rsidR="00C970CB" w:rsidRPr="006E45CA" w:rsidRDefault="00C970CB" w:rsidP="00C970CB">
      <w:pPr>
        <w:tabs>
          <w:tab w:val="left" w:pos="624"/>
          <w:tab w:val="left" w:pos="1871"/>
          <w:tab w:val="left" w:pos="2495"/>
          <w:tab w:val="left" w:pos="3119"/>
          <w:tab w:val="left" w:pos="3742"/>
          <w:tab w:val="left" w:pos="4366"/>
          <w:tab w:val="left" w:pos="4990"/>
          <w:tab w:val="left" w:pos="5613"/>
        </w:tabs>
        <w:spacing w:after="120"/>
        <w:ind w:left="1247" w:firstLine="624"/>
        <w:jc w:val="both"/>
        <w:rPr>
          <w:i/>
          <w:iCs/>
          <w:sz w:val="24"/>
          <w:szCs w:val="21"/>
          <w:lang w:eastAsia="zh-CN"/>
        </w:rPr>
      </w:pPr>
      <w:r w:rsidRPr="006E45CA">
        <w:rPr>
          <w:rFonts w:cs="SimSun" w:hint="eastAsia"/>
          <w:i/>
          <w:iCs/>
          <w:color w:val="000000"/>
          <w:sz w:val="24"/>
          <w:szCs w:val="24"/>
          <w:lang w:eastAsia="zh-CN"/>
        </w:rPr>
        <w:t>缔约方大会</w:t>
      </w:r>
    </w:p>
    <w:p w:rsidR="00C970CB" w:rsidRPr="006E45CA" w:rsidRDefault="00C970CB" w:rsidP="00C970CB">
      <w:pPr>
        <w:tabs>
          <w:tab w:val="left" w:pos="624"/>
          <w:tab w:val="left" w:pos="1871"/>
          <w:tab w:val="left" w:pos="2495"/>
          <w:tab w:val="left" w:pos="3119"/>
          <w:tab w:val="left" w:pos="3742"/>
          <w:tab w:val="left" w:pos="4366"/>
          <w:tab w:val="left" w:pos="4990"/>
          <w:tab w:val="left" w:pos="5613"/>
        </w:tabs>
        <w:autoSpaceDE w:val="0"/>
        <w:autoSpaceDN w:val="0"/>
        <w:adjustRightInd w:val="0"/>
        <w:spacing w:after="120"/>
        <w:ind w:left="1247" w:firstLine="624"/>
        <w:jc w:val="both"/>
        <w:rPr>
          <w:color w:val="000000"/>
          <w:sz w:val="24"/>
          <w:szCs w:val="24"/>
          <w:lang w:eastAsia="zh-CN"/>
        </w:rPr>
      </w:pPr>
      <w:r w:rsidRPr="006E45CA">
        <w:rPr>
          <w:color w:val="000000"/>
          <w:sz w:val="24"/>
          <w:szCs w:val="21"/>
          <w:lang w:eastAsia="zh-CN"/>
        </w:rPr>
        <w:t>1.</w:t>
      </w:r>
      <w:r w:rsidRPr="006E45CA">
        <w:rPr>
          <w:color w:val="000000"/>
          <w:sz w:val="24"/>
          <w:szCs w:val="21"/>
          <w:lang w:eastAsia="zh-CN"/>
        </w:rPr>
        <w:tab/>
      </w:r>
      <w:r w:rsidRPr="006E45CA">
        <w:rPr>
          <w:rFonts w:cs="SimSun" w:hint="eastAsia"/>
          <w:i/>
          <w:iCs/>
          <w:color w:val="000000"/>
          <w:sz w:val="24"/>
          <w:szCs w:val="24"/>
          <w:lang w:eastAsia="zh-CN"/>
        </w:rPr>
        <w:t>注意到</w:t>
      </w:r>
      <w:r w:rsidRPr="006E45CA">
        <w:rPr>
          <w:color w:val="000000"/>
          <w:sz w:val="24"/>
          <w:szCs w:val="24"/>
          <w:lang w:eastAsia="zh-CN"/>
        </w:rPr>
        <w:t xml:space="preserve"> </w:t>
      </w:r>
      <w:r w:rsidRPr="006E45CA">
        <w:rPr>
          <w:rFonts w:cs="SimSun" w:hint="eastAsia"/>
          <w:color w:val="000000"/>
          <w:sz w:val="24"/>
          <w:szCs w:val="24"/>
          <w:lang w:eastAsia="zh-CN"/>
        </w:rPr>
        <w:t>秘书处就有关电子废物的越境转移问题</w:t>
      </w:r>
      <w:r w:rsidRPr="006E45CA">
        <w:rPr>
          <w:color w:val="000000"/>
          <w:sz w:val="24"/>
          <w:szCs w:val="24"/>
          <w:lang w:eastAsia="zh-CN"/>
        </w:rPr>
        <w:t>——</w:t>
      </w:r>
      <w:r w:rsidRPr="006E45CA">
        <w:rPr>
          <w:rFonts w:cs="SimSun" w:hint="eastAsia"/>
          <w:color w:val="000000"/>
          <w:sz w:val="24"/>
          <w:szCs w:val="24"/>
          <w:lang w:eastAsia="zh-CN"/>
        </w:rPr>
        <w:t>尤其是废物与非废物之间的区别问题的技术准则制定工作所取得的进展提供的信息；</w:t>
      </w:r>
      <w:r w:rsidRPr="006E45CA">
        <w:rPr>
          <w:sz w:val="24"/>
          <w:szCs w:val="24"/>
          <w:vertAlign w:val="superscript"/>
        </w:rPr>
        <w:footnoteReference w:id="1"/>
      </w:r>
    </w:p>
    <w:p w:rsidR="00C970CB" w:rsidRPr="006E45CA" w:rsidRDefault="00C970CB" w:rsidP="00C970CB">
      <w:pPr>
        <w:tabs>
          <w:tab w:val="left" w:pos="624"/>
          <w:tab w:val="left" w:pos="1871"/>
          <w:tab w:val="left" w:pos="2495"/>
          <w:tab w:val="left" w:pos="3119"/>
          <w:tab w:val="left" w:pos="3742"/>
          <w:tab w:val="left" w:pos="4366"/>
          <w:tab w:val="left" w:pos="4990"/>
          <w:tab w:val="left" w:pos="5613"/>
        </w:tabs>
        <w:autoSpaceDE w:val="0"/>
        <w:autoSpaceDN w:val="0"/>
        <w:adjustRightInd w:val="0"/>
        <w:spacing w:after="120"/>
        <w:ind w:left="1247" w:firstLine="624"/>
        <w:jc w:val="both"/>
        <w:rPr>
          <w:color w:val="000000"/>
          <w:sz w:val="24"/>
          <w:szCs w:val="21"/>
          <w:lang w:eastAsia="zh-CN"/>
        </w:rPr>
      </w:pPr>
      <w:r w:rsidRPr="006E45CA">
        <w:rPr>
          <w:color w:val="000000"/>
          <w:sz w:val="24"/>
          <w:szCs w:val="21"/>
          <w:lang w:eastAsia="zh-CN"/>
        </w:rPr>
        <w:t>2.</w:t>
      </w:r>
      <w:r w:rsidRPr="006E45CA">
        <w:rPr>
          <w:color w:val="000000"/>
          <w:sz w:val="24"/>
          <w:szCs w:val="21"/>
          <w:lang w:eastAsia="zh-CN"/>
        </w:rPr>
        <w:tab/>
      </w:r>
      <w:r w:rsidRPr="006E45CA">
        <w:rPr>
          <w:rFonts w:cs="SimSun" w:hint="eastAsia"/>
          <w:i/>
          <w:iCs/>
          <w:color w:val="000000"/>
          <w:sz w:val="24"/>
          <w:szCs w:val="24"/>
          <w:lang w:eastAsia="zh-CN"/>
        </w:rPr>
        <w:t>邀请</w:t>
      </w:r>
      <w:r w:rsidRPr="006E45CA">
        <w:rPr>
          <w:color w:val="000000"/>
          <w:sz w:val="24"/>
          <w:szCs w:val="24"/>
          <w:lang w:eastAsia="zh-CN"/>
        </w:rPr>
        <w:t xml:space="preserve"> </w:t>
      </w:r>
      <w:r w:rsidRPr="006E45CA">
        <w:rPr>
          <w:rFonts w:cs="SimSun" w:hint="eastAsia"/>
          <w:color w:val="000000"/>
          <w:sz w:val="24"/>
          <w:szCs w:val="24"/>
          <w:lang w:eastAsia="zh-CN"/>
        </w:rPr>
        <w:t>缔约方考虑充当技术准则进一步制定工作的牵头国家，并于</w:t>
      </w:r>
      <w:r w:rsidRPr="006E45CA">
        <w:rPr>
          <w:color w:val="000000"/>
          <w:sz w:val="24"/>
          <w:szCs w:val="24"/>
          <w:lang w:eastAsia="zh-CN"/>
        </w:rPr>
        <w:t>2012</w:t>
      </w:r>
      <w:r w:rsidRPr="006E45CA">
        <w:rPr>
          <w:rFonts w:cs="SimSun" w:hint="eastAsia"/>
          <w:color w:val="000000"/>
          <w:sz w:val="24"/>
          <w:szCs w:val="24"/>
          <w:lang w:eastAsia="zh-CN"/>
        </w:rPr>
        <w:t>年</w:t>
      </w:r>
      <w:r w:rsidRPr="006E45CA">
        <w:rPr>
          <w:color w:val="000000"/>
          <w:sz w:val="24"/>
          <w:szCs w:val="24"/>
          <w:lang w:eastAsia="zh-CN"/>
        </w:rPr>
        <w:t>1</w:t>
      </w:r>
      <w:r w:rsidRPr="006E45CA">
        <w:rPr>
          <w:rFonts w:cs="SimSun" w:hint="eastAsia"/>
          <w:color w:val="000000"/>
          <w:sz w:val="24"/>
          <w:szCs w:val="24"/>
          <w:lang w:eastAsia="zh-CN"/>
        </w:rPr>
        <w:t>月</w:t>
      </w:r>
      <w:r w:rsidRPr="006E45CA">
        <w:rPr>
          <w:color w:val="000000"/>
          <w:sz w:val="24"/>
          <w:szCs w:val="24"/>
          <w:lang w:eastAsia="zh-CN"/>
        </w:rPr>
        <w:t>31</w:t>
      </w:r>
      <w:r w:rsidRPr="006E45CA">
        <w:rPr>
          <w:rFonts w:cs="SimSun" w:hint="eastAsia"/>
          <w:color w:val="000000"/>
          <w:sz w:val="24"/>
          <w:szCs w:val="24"/>
          <w:lang w:eastAsia="zh-CN"/>
        </w:rPr>
        <w:t>日前将此意愿通知秘书处；</w:t>
      </w:r>
    </w:p>
    <w:p w:rsidR="00C970CB" w:rsidRPr="006E45CA" w:rsidRDefault="00C970CB" w:rsidP="00C970CB">
      <w:pPr>
        <w:tabs>
          <w:tab w:val="left" w:pos="624"/>
          <w:tab w:val="left" w:pos="1871"/>
          <w:tab w:val="left" w:pos="2495"/>
          <w:tab w:val="left" w:pos="3119"/>
          <w:tab w:val="left" w:pos="3742"/>
          <w:tab w:val="left" w:pos="4366"/>
          <w:tab w:val="left" w:pos="4990"/>
          <w:tab w:val="left" w:pos="5613"/>
        </w:tabs>
        <w:autoSpaceDE w:val="0"/>
        <w:autoSpaceDN w:val="0"/>
        <w:adjustRightInd w:val="0"/>
        <w:spacing w:after="120"/>
        <w:ind w:left="1247" w:firstLine="624"/>
        <w:jc w:val="both"/>
        <w:rPr>
          <w:color w:val="000000"/>
          <w:sz w:val="24"/>
          <w:szCs w:val="21"/>
          <w:lang w:eastAsia="zh-CN"/>
        </w:rPr>
      </w:pPr>
      <w:r w:rsidRPr="006E45CA">
        <w:rPr>
          <w:color w:val="000000"/>
          <w:sz w:val="24"/>
          <w:szCs w:val="21"/>
          <w:lang w:eastAsia="zh-CN"/>
        </w:rPr>
        <w:t>3.</w:t>
      </w:r>
      <w:r w:rsidRPr="006E45CA">
        <w:rPr>
          <w:color w:val="000000"/>
          <w:sz w:val="24"/>
          <w:szCs w:val="21"/>
          <w:lang w:eastAsia="zh-CN"/>
        </w:rPr>
        <w:tab/>
      </w:r>
      <w:r w:rsidRPr="006E45CA">
        <w:rPr>
          <w:rFonts w:cs="SimSun" w:hint="eastAsia"/>
          <w:i/>
          <w:iCs/>
          <w:color w:val="000000"/>
          <w:sz w:val="24"/>
          <w:szCs w:val="24"/>
          <w:lang w:eastAsia="zh-CN"/>
        </w:rPr>
        <w:t>请</w:t>
      </w:r>
      <w:r w:rsidRPr="006E45CA">
        <w:rPr>
          <w:color w:val="000000"/>
          <w:sz w:val="24"/>
          <w:szCs w:val="24"/>
          <w:lang w:eastAsia="zh-CN"/>
        </w:rPr>
        <w:t xml:space="preserve"> </w:t>
      </w:r>
      <w:r w:rsidRPr="006E45CA">
        <w:rPr>
          <w:rFonts w:cs="SimSun" w:hint="eastAsia"/>
          <w:color w:val="000000"/>
          <w:sz w:val="24"/>
          <w:szCs w:val="24"/>
          <w:lang w:eastAsia="zh-CN"/>
        </w:rPr>
        <w:t>牵头国家（若已选中牵头国家）或秘书处（若未选中牵头国家）经与下文第</w:t>
      </w:r>
      <w:r w:rsidRPr="006E45CA">
        <w:rPr>
          <w:color w:val="000000"/>
          <w:sz w:val="24"/>
          <w:szCs w:val="24"/>
          <w:lang w:eastAsia="zh-CN"/>
        </w:rPr>
        <w:t>5</w:t>
      </w:r>
      <w:r w:rsidRPr="006E45CA">
        <w:rPr>
          <w:rFonts w:cs="SimSun" w:hint="eastAsia"/>
          <w:color w:val="000000"/>
          <w:sz w:val="24"/>
          <w:szCs w:val="24"/>
          <w:lang w:eastAsia="zh-CN"/>
        </w:rPr>
        <w:t>段所提及的小型闭会期间工作组磋商，</w:t>
      </w:r>
      <w:proofErr w:type="gramStart"/>
      <w:r w:rsidRPr="006E45CA">
        <w:rPr>
          <w:rFonts w:cs="SimSun" w:hint="eastAsia"/>
          <w:color w:val="000000"/>
          <w:sz w:val="24"/>
          <w:szCs w:val="24"/>
          <w:lang w:eastAsia="zh-CN"/>
        </w:rPr>
        <w:t>并考虑所收到的缔约方和利益攸关方的评论意见以及“</w:t>
      </w:r>
      <w:proofErr w:type="gramEnd"/>
      <w:r w:rsidRPr="006E45CA">
        <w:rPr>
          <w:rFonts w:cs="SimSun" w:hint="eastAsia"/>
          <w:color w:val="000000"/>
          <w:sz w:val="24"/>
          <w:szCs w:val="24"/>
          <w:lang w:eastAsia="zh-CN"/>
        </w:rPr>
        <w:t>计算机设备行动伙伴关系”的相关工作</w:t>
      </w:r>
      <w:r w:rsidRPr="006E45CA">
        <w:rPr>
          <w:color w:val="000000"/>
          <w:sz w:val="24"/>
          <w:szCs w:val="24"/>
          <w:lang w:eastAsia="zh-CN"/>
        </w:rPr>
        <w:t>——</w:t>
      </w:r>
      <w:r w:rsidRPr="006E45CA">
        <w:rPr>
          <w:rFonts w:cs="SimSun" w:hint="eastAsia"/>
          <w:color w:val="000000"/>
          <w:sz w:val="24"/>
          <w:szCs w:val="24"/>
          <w:lang w:eastAsia="zh-CN"/>
        </w:rPr>
        <w:t>包括废旧计算机设备无害环境管理问题指导文件第</w:t>
      </w:r>
      <w:r w:rsidRPr="006E45CA">
        <w:rPr>
          <w:color w:val="000000"/>
          <w:sz w:val="24"/>
          <w:szCs w:val="24"/>
          <w:lang w:eastAsia="zh-CN"/>
        </w:rPr>
        <w:t>3</w:t>
      </w:r>
      <w:r>
        <w:rPr>
          <w:rFonts w:cs="SimSun" w:hint="eastAsia"/>
          <w:color w:val="000000"/>
          <w:sz w:val="24"/>
          <w:szCs w:val="24"/>
          <w:lang w:eastAsia="zh-CN"/>
        </w:rPr>
        <w:t>节</w:t>
      </w:r>
      <w:r w:rsidRPr="006E45CA">
        <w:rPr>
          <w:rFonts w:cs="SimSun" w:hint="eastAsia"/>
          <w:color w:val="000000"/>
          <w:sz w:val="24"/>
          <w:szCs w:val="24"/>
          <w:lang w:eastAsia="zh-CN"/>
        </w:rPr>
        <w:t>，于</w:t>
      </w:r>
      <w:r w:rsidRPr="006E45CA">
        <w:rPr>
          <w:color w:val="000000"/>
          <w:sz w:val="24"/>
          <w:szCs w:val="24"/>
          <w:lang w:eastAsia="zh-CN"/>
        </w:rPr>
        <w:t>2012</w:t>
      </w:r>
      <w:r w:rsidRPr="006E45CA">
        <w:rPr>
          <w:rFonts w:cs="SimSun" w:hint="eastAsia"/>
          <w:color w:val="000000"/>
          <w:sz w:val="24"/>
          <w:szCs w:val="24"/>
          <w:lang w:eastAsia="zh-CN"/>
        </w:rPr>
        <w:t>年</w:t>
      </w:r>
      <w:r w:rsidRPr="006E45CA">
        <w:rPr>
          <w:color w:val="000000"/>
          <w:sz w:val="24"/>
          <w:szCs w:val="24"/>
          <w:lang w:eastAsia="zh-CN"/>
        </w:rPr>
        <w:t>4</w:t>
      </w:r>
      <w:r w:rsidRPr="006E45CA">
        <w:rPr>
          <w:rFonts w:cs="SimSun" w:hint="eastAsia"/>
          <w:color w:val="000000"/>
          <w:sz w:val="24"/>
          <w:szCs w:val="24"/>
          <w:lang w:eastAsia="zh-CN"/>
        </w:rPr>
        <w:t>月</w:t>
      </w:r>
      <w:r w:rsidRPr="006E45CA">
        <w:rPr>
          <w:color w:val="000000"/>
          <w:sz w:val="24"/>
          <w:szCs w:val="24"/>
          <w:lang w:eastAsia="zh-CN"/>
        </w:rPr>
        <w:t>15</w:t>
      </w:r>
      <w:r w:rsidRPr="006E45CA">
        <w:rPr>
          <w:rFonts w:cs="SimSun" w:hint="eastAsia"/>
          <w:color w:val="000000"/>
          <w:sz w:val="24"/>
          <w:szCs w:val="24"/>
          <w:lang w:eastAsia="zh-CN"/>
        </w:rPr>
        <w:t>日前编写技术准则修订草案，供不限成员名额工作组第八届会议审议，以期获得缔约方大会第十一次会议的审议和通过</w:t>
      </w:r>
      <w:r>
        <w:rPr>
          <w:rFonts w:cs="SimSun" w:hint="eastAsia"/>
          <w:color w:val="000000"/>
          <w:sz w:val="24"/>
          <w:szCs w:val="24"/>
          <w:lang w:eastAsia="zh-CN"/>
        </w:rPr>
        <w:t>；</w:t>
      </w:r>
    </w:p>
    <w:p w:rsidR="00C970CB" w:rsidRPr="006E45CA" w:rsidRDefault="00C970CB" w:rsidP="00C970CB">
      <w:pPr>
        <w:tabs>
          <w:tab w:val="left" w:pos="624"/>
          <w:tab w:val="left" w:pos="1871"/>
          <w:tab w:val="left" w:pos="2495"/>
          <w:tab w:val="left" w:pos="3119"/>
          <w:tab w:val="left" w:pos="3742"/>
          <w:tab w:val="left" w:pos="4366"/>
          <w:tab w:val="left" w:pos="4990"/>
          <w:tab w:val="left" w:pos="5613"/>
        </w:tabs>
        <w:autoSpaceDE w:val="0"/>
        <w:autoSpaceDN w:val="0"/>
        <w:adjustRightInd w:val="0"/>
        <w:spacing w:after="120"/>
        <w:ind w:left="1247" w:firstLine="624"/>
        <w:jc w:val="both"/>
        <w:rPr>
          <w:b/>
          <w:bCs/>
          <w:color w:val="000000"/>
          <w:sz w:val="24"/>
          <w:szCs w:val="21"/>
          <w:lang w:eastAsia="zh-CN"/>
        </w:rPr>
      </w:pPr>
      <w:r w:rsidRPr="006E45CA">
        <w:rPr>
          <w:color w:val="000000"/>
          <w:sz w:val="24"/>
          <w:szCs w:val="21"/>
          <w:lang w:eastAsia="zh-CN"/>
        </w:rPr>
        <w:t>4.</w:t>
      </w:r>
      <w:r w:rsidRPr="006E45CA">
        <w:rPr>
          <w:color w:val="000000"/>
          <w:sz w:val="24"/>
          <w:szCs w:val="21"/>
          <w:lang w:eastAsia="zh-CN"/>
        </w:rPr>
        <w:tab/>
      </w:r>
      <w:r w:rsidRPr="006E45CA">
        <w:rPr>
          <w:rFonts w:cs="SimSun" w:hint="eastAsia"/>
          <w:i/>
          <w:iCs/>
          <w:color w:val="000000"/>
          <w:sz w:val="24"/>
          <w:szCs w:val="24"/>
          <w:lang w:eastAsia="zh-CN"/>
        </w:rPr>
        <w:t>邀请</w:t>
      </w:r>
      <w:r w:rsidRPr="006E45CA">
        <w:rPr>
          <w:color w:val="000000"/>
          <w:sz w:val="24"/>
          <w:szCs w:val="24"/>
          <w:lang w:eastAsia="zh-CN"/>
        </w:rPr>
        <w:t xml:space="preserve"> </w:t>
      </w:r>
      <w:r w:rsidRPr="006E45CA">
        <w:rPr>
          <w:rFonts w:cs="SimSun" w:hint="eastAsia"/>
          <w:color w:val="000000"/>
          <w:sz w:val="24"/>
          <w:szCs w:val="24"/>
          <w:lang w:eastAsia="zh-CN"/>
        </w:rPr>
        <w:t>缔约方和所有利益攸关方于</w:t>
      </w:r>
      <w:r w:rsidRPr="006E45CA">
        <w:rPr>
          <w:color w:val="000000"/>
          <w:sz w:val="24"/>
          <w:szCs w:val="24"/>
          <w:lang w:eastAsia="zh-CN"/>
        </w:rPr>
        <w:t>2012</w:t>
      </w:r>
      <w:r w:rsidRPr="006E45CA">
        <w:rPr>
          <w:rFonts w:cs="SimSun" w:hint="eastAsia"/>
          <w:color w:val="000000"/>
          <w:sz w:val="24"/>
          <w:szCs w:val="24"/>
          <w:lang w:eastAsia="zh-CN"/>
        </w:rPr>
        <w:t>年</w:t>
      </w:r>
      <w:r w:rsidRPr="006E45CA">
        <w:rPr>
          <w:color w:val="000000"/>
          <w:sz w:val="24"/>
          <w:szCs w:val="24"/>
          <w:lang w:eastAsia="zh-CN"/>
        </w:rPr>
        <w:t>6</w:t>
      </w:r>
      <w:r w:rsidRPr="006E45CA">
        <w:rPr>
          <w:rFonts w:cs="SimSun" w:hint="eastAsia"/>
          <w:color w:val="000000"/>
          <w:sz w:val="24"/>
          <w:szCs w:val="24"/>
          <w:lang w:eastAsia="zh-CN"/>
        </w:rPr>
        <w:t>月</w:t>
      </w:r>
      <w:r w:rsidRPr="006E45CA">
        <w:rPr>
          <w:color w:val="000000"/>
          <w:sz w:val="24"/>
          <w:szCs w:val="24"/>
          <w:lang w:eastAsia="zh-CN"/>
        </w:rPr>
        <w:t>15</w:t>
      </w:r>
      <w:r w:rsidRPr="006E45CA">
        <w:rPr>
          <w:rFonts w:cs="SimSun" w:hint="eastAsia"/>
          <w:color w:val="000000"/>
          <w:sz w:val="24"/>
          <w:szCs w:val="24"/>
          <w:lang w:eastAsia="zh-CN"/>
        </w:rPr>
        <w:t>日前，就技术准则修订草案向秘书处和牵头国家（若已选中牵头国家）提供评论意见；</w:t>
      </w:r>
    </w:p>
    <w:p w:rsidR="00C970CB" w:rsidRPr="006E45CA" w:rsidRDefault="00C970CB" w:rsidP="00C970CB">
      <w:pPr>
        <w:tabs>
          <w:tab w:val="left" w:pos="624"/>
          <w:tab w:val="left" w:pos="1871"/>
          <w:tab w:val="left" w:pos="2495"/>
          <w:tab w:val="left" w:pos="3119"/>
          <w:tab w:val="left" w:pos="3742"/>
          <w:tab w:val="left" w:pos="4366"/>
          <w:tab w:val="left" w:pos="4990"/>
          <w:tab w:val="left" w:pos="5613"/>
        </w:tabs>
        <w:autoSpaceDE w:val="0"/>
        <w:autoSpaceDN w:val="0"/>
        <w:adjustRightInd w:val="0"/>
        <w:spacing w:after="120"/>
        <w:ind w:left="1247" w:firstLine="624"/>
        <w:jc w:val="both"/>
        <w:rPr>
          <w:color w:val="000000"/>
          <w:sz w:val="24"/>
          <w:szCs w:val="21"/>
          <w:lang w:eastAsia="zh-CN"/>
        </w:rPr>
      </w:pPr>
      <w:r w:rsidRPr="006E45CA">
        <w:rPr>
          <w:color w:val="000000"/>
          <w:sz w:val="24"/>
          <w:szCs w:val="21"/>
          <w:lang w:eastAsia="zh-CN"/>
        </w:rPr>
        <w:t>5.</w:t>
      </w:r>
      <w:r w:rsidRPr="006E45CA">
        <w:rPr>
          <w:color w:val="000000"/>
          <w:sz w:val="24"/>
          <w:szCs w:val="21"/>
          <w:lang w:eastAsia="zh-CN"/>
        </w:rPr>
        <w:tab/>
      </w:r>
      <w:r w:rsidRPr="006E45CA">
        <w:rPr>
          <w:rFonts w:cs="SimSun" w:hint="eastAsia"/>
          <w:i/>
          <w:iCs/>
          <w:color w:val="000000"/>
          <w:sz w:val="24"/>
          <w:szCs w:val="24"/>
          <w:lang w:eastAsia="zh-CN"/>
        </w:rPr>
        <w:t>决定</w:t>
      </w:r>
      <w:r w:rsidRPr="006E45CA">
        <w:rPr>
          <w:i/>
          <w:iCs/>
          <w:color w:val="000000"/>
          <w:sz w:val="24"/>
          <w:szCs w:val="24"/>
          <w:lang w:eastAsia="zh-CN"/>
        </w:rPr>
        <w:t xml:space="preserve"> </w:t>
      </w:r>
      <w:r w:rsidRPr="006E45CA">
        <w:rPr>
          <w:rFonts w:cs="SimSun" w:hint="eastAsia"/>
          <w:color w:val="000000"/>
          <w:sz w:val="24"/>
          <w:szCs w:val="24"/>
          <w:lang w:eastAsia="zh-CN"/>
        </w:rPr>
        <w:t>设立一个小型闭会期间工作组，负责监督并协助上文第</w:t>
      </w:r>
      <w:r w:rsidRPr="006E45CA">
        <w:rPr>
          <w:color w:val="000000"/>
          <w:sz w:val="24"/>
          <w:szCs w:val="24"/>
          <w:lang w:eastAsia="zh-CN"/>
        </w:rPr>
        <w:t>1</w:t>
      </w:r>
      <w:r w:rsidRPr="006E45CA">
        <w:rPr>
          <w:rFonts w:cs="SimSun" w:hint="eastAsia"/>
          <w:color w:val="000000"/>
          <w:sz w:val="24"/>
          <w:szCs w:val="24"/>
          <w:lang w:eastAsia="zh-CN"/>
        </w:rPr>
        <w:t>段所提及的技术准则进一步制定工作。该工作组将重点借助电子手段工作；</w:t>
      </w:r>
    </w:p>
    <w:p w:rsidR="00C970CB" w:rsidRPr="007A6D34" w:rsidRDefault="00C970CB" w:rsidP="00C970CB">
      <w:pPr>
        <w:tabs>
          <w:tab w:val="left" w:pos="624"/>
          <w:tab w:val="left" w:pos="1871"/>
          <w:tab w:val="left" w:pos="2495"/>
          <w:tab w:val="left" w:pos="3119"/>
          <w:tab w:val="left" w:pos="3742"/>
          <w:tab w:val="left" w:pos="4366"/>
          <w:tab w:val="left" w:pos="4990"/>
          <w:tab w:val="left" w:pos="5613"/>
        </w:tabs>
        <w:autoSpaceDE w:val="0"/>
        <w:autoSpaceDN w:val="0"/>
        <w:adjustRightInd w:val="0"/>
        <w:spacing w:after="120"/>
        <w:ind w:left="1247" w:firstLine="624"/>
        <w:jc w:val="both"/>
        <w:rPr>
          <w:color w:val="000000"/>
          <w:sz w:val="21"/>
          <w:szCs w:val="21"/>
          <w:lang w:eastAsia="zh-CN"/>
        </w:rPr>
      </w:pPr>
      <w:r w:rsidRPr="006E45CA">
        <w:rPr>
          <w:color w:val="000000"/>
          <w:sz w:val="24"/>
          <w:szCs w:val="21"/>
          <w:lang w:eastAsia="zh-CN"/>
        </w:rPr>
        <w:t>6.</w:t>
      </w:r>
      <w:r w:rsidRPr="006E45CA">
        <w:rPr>
          <w:color w:val="000000"/>
          <w:sz w:val="24"/>
          <w:szCs w:val="21"/>
          <w:lang w:eastAsia="zh-CN"/>
        </w:rPr>
        <w:tab/>
      </w:r>
      <w:r w:rsidRPr="006E45CA">
        <w:rPr>
          <w:rFonts w:cs="SimSun" w:hint="eastAsia"/>
          <w:i/>
          <w:iCs/>
          <w:color w:val="000000"/>
          <w:sz w:val="24"/>
          <w:szCs w:val="24"/>
          <w:lang w:eastAsia="zh-CN"/>
        </w:rPr>
        <w:t>邀请</w:t>
      </w:r>
      <w:r w:rsidRPr="006E45CA">
        <w:rPr>
          <w:i/>
          <w:iCs/>
          <w:color w:val="000000"/>
          <w:sz w:val="24"/>
          <w:szCs w:val="24"/>
          <w:lang w:eastAsia="zh-CN"/>
        </w:rPr>
        <w:t xml:space="preserve"> </w:t>
      </w:r>
      <w:r w:rsidRPr="006E45CA">
        <w:rPr>
          <w:rFonts w:cs="SimSun" w:hint="eastAsia"/>
          <w:color w:val="000000"/>
          <w:sz w:val="24"/>
          <w:szCs w:val="24"/>
          <w:lang w:eastAsia="zh-CN"/>
        </w:rPr>
        <w:t>缔约方和利益攸关方提名参与小型闭会期间工作组的专家，并于</w:t>
      </w:r>
      <w:r w:rsidRPr="006E45CA">
        <w:rPr>
          <w:color w:val="000000"/>
          <w:sz w:val="24"/>
          <w:szCs w:val="24"/>
          <w:lang w:eastAsia="zh-CN"/>
        </w:rPr>
        <w:t>2012</w:t>
      </w:r>
      <w:r w:rsidRPr="006E45CA">
        <w:rPr>
          <w:rFonts w:cs="SimSun" w:hint="eastAsia"/>
          <w:color w:val="000000"/>
          <w:sz w:val="24"/>
          <w:szCs w:val="24"/>
          <w:lang w:eastAsia="zh-CN"/>
        </w:rPr>
        <w:t>年</w:t>
      </w:r>
      <w:r w:rsidRPr="006E45CA">
        <w:rPr>
          <w:color w:val="000000"/>
          <w:sz w:val="24"/>
          <w:szCs w:val="24"/>
          <w:lang w:eastAsia="zh-CN"/>
        </w:rPr>
        <w:t>1</w:t>
      </w:r>
      <w:r w:rsidRPr="006E45CA">
        <w:rPr>
          <w:rFonts w:cs="SimSun" w:hint="eastAsia"/>
          <w:color w:val="000000"/>
          <w:sz w:val="24"/>
          <w:szCs w:val="24"/>
          <w:lang w:eastAsia="zh-CN"/>
        </w:rPr>
        <w:t>月</w:t>
      </w:r>
      <w:r w:rsidRPr="006E45CA">
        <w:rPr>
          <w:color w:val="000000"/>
          <w:sz w:val="24"/>
          <w:szCs w:val="24"/>
          <w:lang w:eastAsia="zh-CN"/>
        </w:rPr>
        <w:t>31</w:t>
      </w:r>
      <w:r w:rsidRPr="006E45CA">
        <w:rPr>
          <w:rFonts w:cs="SimSun" w:hint="eastAsia"/>
          <w:color w:val="000000"/>
          <w:sz w:val="24"/>
          <w:szCs w:val="24"/>
          <w:lang w:eastAsia="zh-CN"/>
        </w:rPr>
        <w:t>日前将其提名通知秘书处。</w:t>
      </w:r>
    </w:p>
    <w:p w:rsidR="00F935A6" w:rsidRDefault="00F935A6">
      <w:pPr>
        <w:rPr>
          <w:lang w:eastAsia="zh-CN"/>
        </w:rPr>
      </w:pPr>
    </w:p>
    <w:sectPr w:rsidR="00F935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1F11" w:rsidRDefault="005E1F11" w:rsidP="00C970CB">
      <w:r>
        <w:separator/>
      </w:r>
    </w:p>
  </w:endnote>
  <w:endnote w:type="continuationSeparator" w:id="0">
    <w:p w:rsidR="005E1F11" w:rsidRDefault="005E1F11" w:rsidP="00C97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1F11" w:rsidRDefault="005E1F11" w:rsidP="00C970CB">
      <w:r>
        <w:separator/>
      </w:r>
    </w:p>
  </w:footnote>
  <w:footnote w:type="continuationSeparator" w:id="0">
    <w:p w:rsidR="005E1F11" w:rsidRDefault="005E1F11" w:rsidP="00C970CB">
      <w:r>
        <w:continuationSeparator/>
      </w:r>
    </w:p>
  </w:footnote>
  <w:footnote w:id="1">
    <w:p w:rsidR="00C970CB" w:rsidRPr="004B53F4" w:rsidRDefault="00C970CB" w:rsidP="00C970CB">
      <w:pPr>
        <w:pStyle w:val="Footer"/>
        <w:tabs>
          <w:tab w:val="left" w:pos="624"/>
        </w:tabs>
        <w:spacing w:before="20" w:after="40"/>
        <w:ind w:left="1247"/>
        <w:rPr>
          <w:sz w:val="21"/>
          <w:szCs w:val="21"/>
        </w:rPr>
      </w:pPr>
      <w:r w:rsidRPr="004B53F4">
        <w:rPr>
          <w:sz w:val="21"/>
          <w:szCs w:val="21"/>
          <w:lang w:val="en-US"/>
        </w:rPr>
        <w:footnoteRef/>
      </w:r>
      <w:r w:rsidRPr="004B53F4">
        <w:rPr>
          <w:sz w:val="21"/>
          <w:szCs w:val="21"/>
          <w:lang w:val="en-US"/>
        </w:rPr>
        <w:t xml:space="preserve"> </w:t>
      </w:r>
      <w:r w:rsidRPr="004B53F4">
        <w:rPr>
          <w:sz w:val="21"/>
          <w:szCs w:val="21"/>
          <w:lang w:val="en-US"/>
        </w:rPr>
        <w:tab/>
        <w:t>UNEP/CHW.10/6</w:t>
      </w:r>
      <w:r w:rsidRPr="004B53F4">
        <w:rPr>
          <w:sz w:val="21"/>
          <w:szCs w:val="21"/>
          <w:lang w:val="en-US" w:eastAsia="zh-C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CB"/>
    <w:rsid w:val="005E1F11"/>
    <w:rsid w:val="00C970CB"/>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DE4B09-4AB4-4A29-85B9-727560628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70CB"/>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C970CB"/>
    <w:pPr>
      <w:tabs>
        <w:tab w:val="center" w:pos="4320"/>
        <w:tab w:val="right" w:pos="8640"/>
      </w:tabs>
      <w:spacing w:before="60" w:after="120"/>
    </w:pPr>
    <w:rPr>
      <w:kern w:val="2"/>
      <w:sz w:val="18"/>
      <w:szCs w:val="18"/>
    </w:rPr>
  </w:style>
  <w:style w:type="character" w:customStyle="1" w:styleId="FooterChar">
    <w:name w:val="Footer Char"/>
    <w:basedOn w:val="DefaultParagraphFont"/>
    <w:link w:val="Footer"/>
    <w:rsid w:val="00C970CB"/>
    <w:rPr>
      <w:rFonts w:ascii="Times New Roman" w:eastAsia="SimSun" w:hAnsi="Times New Roman" w:cs="Times New Roman"/>
      <w:kern w:val="2"/>
      <w:sz w:val="18"/>
      <w:szCs w:val="18"/>
      <w:lang w:val="en-GB" w:eastAsia="en-US"/>
    </w:rPr>
  </w:style>
  <w:style w:type="paragraph" w:customStyle="1" w:styleId="BBTitle">
    <w:name w:val="BB_Title"/>
    <w:basedOn w:val="Normal"/>
    <w:rsid w:val="00C970CB"/>
    <w:pPr>
      <w:keepNext/>
      <w:keepLines/>
      <w:suppressAutoHyphens/>
      <w:spacing w:before="320" w:after="240"/>
      <w:ind w:left="1247" w:right="567"/>
    </w:pPr>
    <w:rPr>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82</Words>
  <Characters>473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2019-11-20T14:34:00Z</dcterms:created>
  <dcterms:modified xsi:type="dcterms:W3CDTF">2019-11-20T14:35:00Z</dcterms:modified>
</cp:coreProperties>
</file>