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2E5" w:rsidRPr="00C41325" w:rsidRDefault="004622E5" w:rsidP="004622E5">
      <w:pPr>
        <w:spacing w:before="240" w:after="180" w:line="400" w:lineRule="exact"/>
        <w:ind w:left="1440"/>
        <w:jc w:val="both"/>
        <w:rPr>
          <w:rFonts w:cs="Traditional Arabic"/>
          <w:b/>
          <w:bCs/>
          <w:color w:val="000000"/>
          <w:sz w:val="32"/>
          <w:szCs w:val="32"/>
          <w:rtl/>
        </w:rPr>
      </w:pPr>
      <w:r w:rsidRPr="00C41325">
        <w:rPr>
          <w:rFonts w:cs="Traditional Arabic"/>
          <w:b/>
          <w:bCs/>
          <w:color w:val="000000"/>
          <w:sz w:val="32"/>
          <w:szCs w:val="32"/>
          <w:rtl/>
        </w:rPr>
        <w:t>المقرر ا ب - 10/9: المبادئ التوجيهية التقنية للإدارة السليمة بيئياً للنفايات المكونة من الملوثات العضوية الثابتة أو المحتوية عليها أو الملوثة بها</w:t>
      </w:r>
    </w:p>
    <w:p w:rsidR="004622E5" w:rsidRPr="00131F93" w:rsidRDefault="004622E5" w:rsidP="004622E5">
      <w:pPr>
        <w:spacing w:after="120" w:line="400" w:lineRule="exact"/>
        <w:ind w:left="2160"/>
        <w:jc w:val="both"/>
        <w:rPr>
          <w:rFonts w:cs="Traditional Arabic"/>
          <w:i/>
          <w:iCs/>
          <w:sz w:val="20"/>
          <w:szCs w:val="30"/>
          <w:rtl/>
        </w:rPr>
      </w:pPr>
      <w:r w:rsidRPr="00131F93">
        <w:rPr>
          <w:rFonts w:cs="Traditional Arabic"/>
          <w:i/>
          <w:iCs/>
          <w:sz w:val="20"/>
          <w:szCs w:val="30"/>
          <w:rtl/>
        </w:rPr>
        <w:t>إن مؤتمر الأطراف،</w:t>
      </w:r>
    </w:p>
    <w:p w:rsidR="004622E5" w:rsidRPr="00BB23EF" w:rsidRDefault="004622E5" w:rsidP="004622E5">
      <w:pPr>
        <w:spacing w:after="120" w:line="400" w:lineRule="exact"/>
        <w:ind w:left="1440" w:firstLine="720"/>
        <w:jc w:val="both"/>
        <w:rPr>
          <w:rFonts w:cs="Traditional Arabic"/>
          <w:b/>
          <w:sz w:val="20"/>
          <w:szCs w:val="30"/>
          <w:rtl/>
        </w:rPr>
      </w:pPr>
      <w:r w:rsidRPr="00BB23EF">
        <w:rPr>
          <w:rFonts w:cs="Traditional Arabic"/>
          <w:b/>
          <w:i/>
          <w:iCs/>
          <w:sz w:val="20"/>
          <w:szCs w:val="30"/>
          <w:rtl/>
        </w:rPr>
        <w:t>إذ يشير</w:t>
      </w:r>
      <w:r w:rsidRPr="00BB23EF">
        <w:rPr>
          <w:rFonts w:cs="Traditional Arabic"/>
          <w:b/>
          <w:sz w:val="20"/>
          <w:szCs w:val="30"/>
          <w:rtl/>
        </w:rPr>
        <w:t xml:space="preserve"> إلى مقرراته 7/13، و8/16 و9/16 بشأن الملوثات العضوية الثابتة،</w:t>
      </w:r>
    </w:p>
    <w:p w:rsidR="004622E5" w:rsidRPr="00BB23EF" w:rsidRDefault="004622E5" w:rsidP="004622E5">
      <w:pPr>
        <w:spacing w:after="120" w:line="400" w:lineRule="exact"/>
        <w:ind w:left="1440" w:firstLine="720"/>
        <w:jc w:val="both"/>
        <w:rPr>
          <w:rFonts w:cs="Traditional Arabic"/>
          <w:b/>
          <w:sz w:val="20"/>
          <w:szCs w:val="30"/>
          <w:rtl/>
        </w:rPr>
      </w:pPr>
      <w:r w:rsidRPr="00BB23EF">
        <w:rPr>
          <w:rFonts w:cs="Traditional Arabic"/>
          <w:b/>
          <w:i/>
          <w:iCs/>
          <w:sz w:val="20"/>
          <w:szCs w:val="30"/>
          <w:rtl/>
        </w:rPr>
        <w:t>وإذ يرحب</w:t>
      </w:r>
      <w:r w:rsidRPr="00BB23EF">
        <w:rPr>
          <w:rFonts w:cs="Traditional Arabic"/>
          <w:b/>
          <w:sz w:val="20"/>
          <w:szCs w:val="30"/>
          <w:rtl/>
        </w:rPr>
        <w:t xml:space="preserve"> بالمقرر ا س - 5/9 الصادر عن مؤتمر الأطراف في اتفاقية ستكهولم بشأن الملوثات العضوية الثابتة المتعلق بتدابير تخفيض الإطلاقات من النفايات أو القضاء عليها والمقرر ا س -5/5 المتعلق ببرنامج عمل بشأ</w:t>
      </w:r>
      <w:r>
        <w:rPr>
          <w:rFonts w:cs="Traditional Arabic"/>
          <w:b/>
          <w:sz w:val="20"/>
          <w:szCs w:val="30"/>
          <w:rtl/>
        </w:rPr>
        <w:t>ن الإ</w:t>
      </w:r>
      <w:r w:rsidRPr="00BB23EF">
        <w:rPr>
          <w:rFonts w:cs="Traditional Arabic"/>
          <w:b/>
          <w:sz w:val="20"/>
          <w:szCs w:val="30"/>
          <w:rtl/>
        </w:rPr>
        <w:t>ث</w:t>
      </w:r>
      <w:r>
        <w:rPr>
          <w:rFonts w:cs="Traditional Arabic"/>
          <w:b/>
          <w:sz w:val="20"/>
          <w:szCs w:val="30"/>
          <w:rtl/>
        </w:rPr>
        <w:t>ي</w:t>
      </w:r>
      <w:r w:rsidRPr="00BB23EF">
        <w:rPr>
          <w:rFonts w:cs="Traditional Arabic"/>
          <w:b/>
          <w:sz w:val="20"/>
          <w:szCs w:val="30"/>
          <w:rtl/>
        </w:rPr>
        <w:t>رات الثنائية الفينيل المبرومة وحامض السلوفينيك البيرفلوروكتاني وأملاحه وفلوريد السلفونيل البيرفلوروكتاني،</w:t>
      </w:r>
    </w:p>
    <w:p w:rsidR="004622E5" w:rsidRPr="00BB23EF" w:rsidRDefault="004622E5" w:rsidP="004622E5">
      <w:pPr>
        <w:spacing w:after="120" w:line="400" w:lineRule="exact"/>
        <w:ind w:left="1440" w:firstLine="720"/>
        <w:jc w:val="both"/>
        <w:rPr>
          <w:rFonts w:cs="Traditional Arabic"/>
          <w:b/>
          <w:sz w:val="20"/>
          <w:szCs w:val="30"/>
          <w:rtl/>
        </w:rPr>
      </w:pPr>
      <w:r w:rsidRPr="00BB23EF">
        <w:rPr>
          <w:rFonts w:cs="Traditional Arabic"/>
          <w:b/>
          <w:sz w:val="20"/>
          <w:szCs w:val="30"/>
          <w:rtl/>
        </w:rPr>
        <w:t>1 -</w:t>
      </w:r>
      <w:r w:rsidRPr="00BB23EF">
        <w:rPr>
          <w:rFonts w:cs="Traditional Arabic"/>
          <w:b/>
          <w:sz w:val="20"/>
          <w:szCs w:val="30"/>
          <w:rtl/>
        </w:rPr>
        <w:tab/>
      </w:r>
      <w:r w:rsidRPr="00BB23EF">
        <w:rPr>
          <w:rFonts w:cs="Traditional Arabic"/>
          <w:b/>
          <w:i/>
          <w:iCs/>
          <w:sz w:val="20"/>
          <w:szCs w:val="30"/>
          <w:rtl/>
        </w:rPr>
        <w:t>يقرر</w:t>
      </w:r>
      <w:r w:rsidRPr="00BB23EF">
        <w:rPr>
          <w:rFonts w:cs="Traditional Arabic"/>
          <w:b/>
          <w:sz w:val="20"/>
          <w:szCs w:val="30"/>
          <w:rtl/>
        </w:rPr>
        <w:t xml:space="preserve"> إدراج ما يلي في برنامج عمل الفريق العامل المفتوح العضوية للفترة 2012 - 2013 فيما يتعلق بالمواد الكيميائية المدرجة في المرفقات ألف وباء و/أو جيم لاتفاقية ستكهولم بموجب المقررات ا س - 4/10 وا س - 4/18 وا س - 5/3 لمؤتمر الأطراف في اتفاقية ستكهولم:</w:t>
      </w:r>
    </w:p>
    <w:p w:rsidR="004622E5" w:rsidRPr="00BB23EF" w:rsidRDefault="004622E5" w:rsidP="004622E5">
      <w:pPr>
        <w:spacing w:after="120" w:line="400" w:lineRule="exact"/>
        <w:ind w:left="1440" w:firstLine="720"/>
        <w:jc w:val="both"/>
        <w:rPr>
          <w:rFonts w:cs="Traditional Arabic"/>
          <w:b/>
          <w:sz w:val="20"/>
          <w:szCs w:val="30"/>
          <w:rtl/>
        </w:rPr>
      </w:pPr>
      <w:r w:rsidRPr="00BB23EF">
        <w:rPr>
          <w:rFonts w:cs="Traditional Arabic"/>
          <w:b/>
          <w:sz w:val="20"/>
          <w:szCs w:val="30"/>
          <w:rtl/>
        </w:rPr>
        <w:t>(أ)</w:t>
      </w:r>
      <w:r w:rsidRPr="00BB23EF">
        <w:rPr>
          <w:rFonts w:cs="Traditional Arabic"/>
          <w:b/>
          <w:sz w:val="20"/>
          <w:szCs w:val="30"/>
          <w:rtl/>
        </w:rPr>
        <w:tab/>
        <w:t>استكمال المبادئ التوجيهية التقنية العامة للإدارة السليمة بيئياً للنفايات المكونة من الملوثات العضوية الثابتة أو المحتوية عليها أو الملوثة بها وإعداد أو استكمال مبادئ توجيهية تقنية معينة توضع في إطار اتفاقية بازل بشأن التحكم في نقل النفايات الخطرة والتخلص منها عبر الحدود، مع مراعاة الوثائق المشار إليها في الفقرات 2 (أ) - (ج) من المقرر ل.ا.م - 6/3</w:t>
      </w:r>
      <w:r w:rsidRPr="00BB23EF">
        <w:rPr>
          <w:rFonts w:cs="Traditional Arabic"/>
          <w:b/>
          <w:sz w:val="20"/>
          <w:szCs w:val="30"/>
          <w:vertAlign w:val="superscript"/>
          <w:rtl/>
        </w:rPr>
        <w:t>(</w:t>
      </w:r>
      <w:r w:rsidRPr="00BB23EF">
        <w:rPr>
          <w:rStyle w:val="FootnoteReference"/>
          <w:rFonts w:cs="Traditional Arabic"/>
          <w:b/>
          <w:sz w:val="20"/>
          <w:szCs w:val="30"/>
          <w:rtl/>
        </w:rPr>
        <w:footnoteReference w:id="1"/>
      </w:r>
      <w:r w:rsidRPr="00BB23EF">
        <w:rPr>
          <w:rFonts w:cs="Traditional Arabic"/>
          <w:b/>
          <w:sz w:val="20"/>
          <w:szCs w:val="30"/>
          <w:vertAlign w:val="superscript"/>
          <w:rtl/>
        </w:rPr>
        <w:t>)</w:t>
      </w:r>
      <w:r w:rsidRPr="00BB23EF">
        <w:rPr>
          <w:rFonts w:cs="Traditional Arabic"/>
          <w:b/>
          <w:sz w:val="20"/>
          <w:szCs w:val="30"/>
          <w:rtl/>
        </w:rPr>
        <w:t xml:space="preserve"> وال</w:t>
      </w:r>
      <w:r>
        <w:rPr>
          <w:rFonts w:cs="Traditional Arabic"/>
          <w:b/>
          <w:sz w:val="20"/>
          <w:szCs w:val="30"/>
          <w:rtl/>
        </w:rPr>
        <w:t>توصيات المتعلقة بالقضاء على الإ</w:t>
      </w:r>
      <w:r w:rsidRPr="00BB23EF">
        <w:rPr>
          <w:rFonts w:cs="Traditional Arabic"/>
          <w:b/>
          <w:sz w:val="20"/>
          <w:szCs w:val="30"/>
          <w:rtl/>
        </w:rPr>
        <w:t>ث</w:t>
      </w:r>
      <w:r>
        <w:rPr>
          <w:rFonts w:cs="Traditional Arabic"/>
          <w:b/>
          <w:sz w:val="20"/>
          <w:szCs w:val="30"/>
          <w:rtl/>
        </w:rPr>
        <w:t>ي</w:t>
      </w:r>
      <w:r w:rsidRPr="00BB23EF">
        <w:rPr>
          <w:rFonts w:cs="Traditional Arabic"/>
          <w:b/>
          <w:sz w:val="20"/>
          <w:szCs w:val="30"/>
          <w:rtl/>
        </w:rPr>
        <w:t>رات الثنائية الفينيل المبرومة من مسار النفايات وبتقليل مخاطر حامض السلوفينيك البيرفلوروكتاني وأملاحه وفلوريد السلفونيل البيرفلوروكتاني المبينة في مرفق المقرر ل.ا.م - 6/2 والمرفق الثاني لتقرير لجنة استعراض الملوثات العضوية الثابتة عن أعمال اجتماعها السادس</w:t>
      </w:r>
      <w:r w:rsidRPr="00BB23EF">
        <w:rPr>
          <w:rFonts w:cs="Traditional Arabic"/>
          <w:b/>
          <w:sz w:val="20"/>
          <w:szCs w:val="30"/>
          <w:vertAlign w:val="superscript"/>
          <w:rtl/>
        </w:rPr>
        <w:t>(</w:t>
      </w:r>
      <w:r w:rsidRPr="00BB23EF">
        <w:rPr>
          <w:rStyle w:val="FootnoteReference"/>
          <w:rFonts w:cs="Traditional Arabic"/>
          <w:b/>
          <w:sz w:val="20"/>
          <w:szCs w:val="30"/>
          <w:rtl/>
        </w:rPr>
        <w:footnoteReference w:id="2"/>
      </w:r>
      <w:r w:rsidRPr="00BB23EF">
        <w:rPr>
          <w:rFonts w:cs="Traditional Arabic"/>
          <w:b/>
          <w:sz w:val="20"/>
          <w:szCs w:val="30"/>
          <w:vertAlign w:val="superscript"/>
          <w:rtl/>
        </w:rPr>
        <w:t>)</w:t>
      </w:r>
      <w:r w:rsidRPr="00BB23EF">
        <w:rPr>
          <w:rFonts w:cs="Traditional Arabic"/>
          <w:b/>
          <w:sz w:val="20"/>
          <w:szCs w:val="30"/>
          <w:rtl/>
        </w:rPr>
        <w:t xml:space="preserve"> حسبما هو مناسب؛</w:t>
      </w:r>
    </w:p>
    <w:p w:rsidR="004622E5" w:rsidRPr="00BB23EF" w:rsidRDefault="004622E5" w:rsidP="004622E5">
      <w:pPr>
        <w:spacing w:after="120" w:line="400" w:lineRule="exact"/>
        <w:ind w:left="1440" w:firstLine="720"/>
        <w:jc w:val="both"/>
        <w:rPr>
          <w:rFonts w:cs="Traditional Arabic"/>
          <w:b/>
          <w:sz w:val="20"/>
          <w:szCs w:val="30"/>
          <w:rtl/>
        </w:rPr>
      </w:pPr>
      <w:r w:rsidRPr="00BB23EF">
        <w:rPr>
          <w:rFonts w:cs="Traditional Arabic"/>
          <w:b/>
          <w:sz w:val="20"/>
          <w:szCs w:val="30"/>
          <w:rtl/>
        </w:rPr>
        <w:t>(ب)</w:t>
      </w:r>
      <w:r w:rsidRPr="00BB23EF">
        <w:rPr>
          <w:rFonts w:cs="Traditional Arabic"/>
          <w:b/>
          <w:sz w:val="20"/>
          <w:szCs w:val="30"/>
          <w:rtl/>
        </w:rPr>
        <w:tab/>
        <w:t>تحديد مستويات التدمير والتحويل الدائم في هذه المواد الكيميائية عند التخلص منها اللازمة لكفالة عدم ظهور خصائص الملوثات العضوية الثابتة المحدد في الفقرة 1 من المرفق دال لاتفاقية ستكهولم؛</w:t>
      </w:r>
    </w:p>
    <w:p w:rsidR="004622E5" w:rsidRPr="00BB23EF" w:rsidRDefault="004622E5" w:rsidP="004622E5">
      <w:pPr>
        <w:spacing w:after="120" w:line="400" w:lineRule="exact"/>
        <w:ind w:left="1440" w:firstLine="720"/>
        <w:jc w:val="both"/>
        <w:rPr>
          <w:rFonts w:cs="Traditional Arabic"/>
          <w:b/>
          <w:sz w:val="20"/>
          <w:szCs w:val="30"/>
          <w:rtl/>
        </w:rPr>
      </w:pPr>
      <w:r>
        <w:rPr>
          <w:rFonts w:cs="Traditional Arabic"/>
          <w:b/>
          <w:sz w:val="20"/>
          <w:szCs w:val="30"/>
          <w:rtl/>
        </w:rPr>
        <w:t>(ج)</w:t>
      </w:r>
      <w:r>
        <w:rPr>
          <w:rFonts w:cs="Traditional Arabic"/>
          <w:b/>
          <w:sz w:val="20"/>
          <w:szCs w:val="30"/>
          <w:rtl/>
        </w:rPr>
        <w:tab/>
        <w:t>تحديد مناهج التخلص التي تغ</w:t>
      </w:r>
      <w:r w:rsidRPr="00BB23EF">
        <w:rPr>
          <w:rFonts w:cs="Traditional Arabic"/>
          <w:b/>
          <w:sz w:val="20"/>
          <w:szCs w:val="30"/>
          <w:rtl/>
        </w:rPr>
        <w:t>ير مناهج التخلص السليم بيئياً على النحو المشار إليه في الفقرة 1 (د) ’2‘ من المادة 6 من اتفاقية ستكهولم؛</w:t>
      </w:r>
    </w:p>
    <w:p w:rsidR="004622E5" w:rsidRPr="00BB23EF" w:rsidRDefault="004622E5" w:rsidP="004622E5">
      <w:pPr>
        <w:spacing w:after="120" w:line="400" w:lineRule="exact"/>
        <w:ind w:left="1440" w:firstLine="720"/>
        <w:jc w:val="both"/>
        <w:rPr>
          <w:rFonts w:cs="Traditional Arabic"/>
          <w:b/>
          <w:sz w:val="20"/>
          <w:szCs w:val="30"/>
          <w:rtl/>
        </w:rPr>
      </w:pPr>
      <w:r w:rsidRPr="00BB23EF">
        <w:rPr>
          <w:rFonts w:cs="Traditional Arabic"/>
          <w:b/>
          <w:sz w:val="20"/>
          <w:szCs w:val="30"/>
          <w:rtl/>
        </w:rPr>
        <w:lastRenderedPageBreak/>
        <w:t>(د)</w:t>
      </w:r>
      <w:r w:rsidRPr="00BB23EF">
        <w:rPr>
          <w:rFonts w:cs="Traditional Arabic"/>
          <w:b/>
          <w:sz w:val="20"/>
          <w:szCs w:val="30"/>
          <w:rtl/>
        </w:rPr>
        <w:tab/>
        <w:t xml:space="preserve">العمل، حسب الاقتضاء، على تحديد مستويات تركيز هذه </w:t>
      </w:r>
      <w:r>
        <w:rPr>
          <w:rFonts w:cs="Traditional Arabic"/>
          <w:b/>
          <w:sz w:val="20"/>
          <w:szCs w:val="30"/>
          <w:rtl/>
        </w:rPr>
        <w:t>المواد الكيميائية من أجل أن يحد</w:t>
      </w:r>
      <w:r w:rsidRPr="00BB23EF">
        <w:rPr>
          <w:rFonts w:cs="Traditional Arabic"/>
          <w:b/>
          <w:sz w:val="20"/>
          <w:szCs w:val="30"/>
          <w:rtl/>
        </w:rPr>
        <w:t>د لها المحتوى المنخفض من الملوثات العضوية الثابتة على النحو المشار إليه في الفقرة 1 (د) ’2‘ من المادة 6 من اتفاقية ستكهولم؛</w:t>
      </w:r>
    </w:p>
    <w:p w:rsidR="004622E5" w:rsidRPr="00BB23EF" w:rsidRDefault="004622E5" w:rsidP="004622E5">
      <w:pPr>
        <w:spacing w:after="120" w:line="400" w:lineRule="exact"/>
        <w:ind w:left="1440" w:firstLine="720"/>
        <w:jc w:val="both"/>
        <w:rPr>
          <w:rFonts w:cs="Traditional Arabic"/>
          <w:b/>
          <w:sz w:val="20"/>
          <w:szCs w:val="30"/>
          <w:rtl/>
        </w:rPr>
      </w:pPr>
      <w:r w:rsidRPr="00BB23EF">
        <w:rPr>
          <w:rFonts w:cs="Traditional Arabic"/>
          <w:b/>
          <w:sz w:val="20"/>
          <w:szCs w:val="30"/>
          <w:rtl/>
        </w:rPr>
        <w:t>(ﻫ)</w:t>
      </w:r>
      <w:r w:rsidRPr="00BB23EF">
        <w:rPr>
          <w:rFonts w:cs="Traditional Arabic"/>
          <w:b/>
          <w:sz w:val="20"/>
          <w:szCs w:val="30"/>
          <w:rtl/>
        </w:rPr>
        <w:tab/>
        <w:t xml:space="preserve">النظر في تعديل المداخل للمرفق الثامن من اتفاقية بازل بالنسبة للفيورانات الثنائية البنزين المتعددة الكلور والديوكسينات الثنائية البنزين المتعددة الكلور (المدخل </w:t>
      </w:r>
      <w:r w:rsidRPr="00BB23EF">
        <w:rPr>
          <w:rFonts w:cs="Traditional Arabic"/>
          <w:sz w:val="20"/>
          <w:szCs w:val="30"/>
        </w:rPr>
        <w:t>A4110</w:t>
      </w:r>
      <w:r w:rsidRPr="00BB23EF">
        <w:rPr>
          <w:rFonts w:cs="Traditional Arabic"/>
          <w:b/>
          <w:sz w:val="20"/>
          <w:szCs w:val="30"/>
          <w:rtl/>
        </w:rPr>
        <w:t>) والـ دي. دي. تي والملوثات العضوية الثابتة الأخرى ذات الصلة لإدراج مستويات تركيز لهذه المواد الكيميائية، وذلك بعد وضع إطار مناسب لتحديد المستوى الأدنى الملائم للتركيزات؛</w:t>
      </w:r>
    </w:p>
    <w:p w:rsidR="004622E5" w:rsidRPr="00BB23EF" w:rsidRDefault="004622E5" w:rsidP="004622E5">
      <w:pPr>
        <w:spacing w:after="120" w:line="400" w:lineRule="exact"/>
        <w:ind w:left="1440" w:firstLine="720"/>
        <w:jc w:val="both"/>
        <w:rPr>
          <w:rFonts w:cs="Traditional Arabic"/>
          <w:b/>
          <w:bCs/>
          <w:sz w:val="20"/>
          <w:szCs w:val="30"/>
          <w:rtl/>
        </w:rPr>
      </w:pPr>
      <w:r w:rsidRPr="00BB23EF">
        <w:rPr>
          <w:rFonts w:cs="Traditional Arabic"/>
          <w:b/>
          <w:sz w:val="20"/>
          <w:szCs w:val="30"/>
          <w:rtl/>
        </w:rPr>
        <w:t>2 -</w:t>
      </w:r>
      <w:r w:rsidRPr="00BB23EF">
        <w:rPr>
          <w:rFonts w:cs="Traditional Arabic"/>
          <w:b/>
          <w:sz w:val="20"/>
          <w:szCs w:val="30"/>
          <w:rtl/>
        </w:rPr>
        <w:tab/>
      </w:r>
      <w:r w:rsidRPr="00BB23EF">
        <w:rPr>
          <w:rFonts w:cs="Traditional Arabic"/>
          <w:b/>
          <w:i/>
          <w:iCs/>
          <w:sz w:val="20"/>
          <w:szCs w:val="30"/>
          <w:rtl/>
        </w:rPr>
        <w:t>يقرر</w:t>
      </w:r>
      <w:r w:rsidRPr="00BB23EF">
        <w:rPr>
          <w:rFonts w:cs="Traditional Arabic"/>
          <w:b/>
          <w:sz w:val="20"/>
          <w:szCs w:val="30"/>
          <w:rtl/>
        </w:rPr>
        <w:t xml:space="preserve"> توسيع ولاية الفريق الصغير العامل بين الدورات الذي أنشئ بموجب الفقرة 9 من مقرر الفريق العامل المفتوح العضوية - 1/4 لكي ينص على أن يقوم الفريق برصد والمساعدة في استعراض واستكمال المبادئ التوجيهية التقنية المتعلقة بالملوثات العضوية الثابتة والمساعدة في ذلك، حسب الاقتضاء، والعمل بوجه خاص بالوسائل الإلكترونية؛</w:t>
      </w:r>
    </w:p>
    <w:p w:rsidR="004622E5" w:rsidRPr="00BB23EF" w:rsidRDefault="004622E5" w:rsidP="004622E5">
      <w:pPr>
        <w:spacing w:after="120" w:line="400" w:lineRule="exact"/>
        <w:ind w:left="1440" w:firstLine="720"/>
        <w:jc w:val="both"/>
        <w:rPr>
          <w:rFonts w:cs="Traditional Arabic"/>
          <w:i/>
          <w:iCs/>
          <w:sz w:val="20"/>
          <w:szCs w:val="30"/>
          <w:rtl/>
        </w:rPr>
      </w:pPr>
      <w:r w:rsidRPr="00BB23EF">
        <w:rPr>
          <w:rFonts w:cs="Traditional Arabic"/>
          <w:sz w:val="20"/>
          <w:szCs w:val="30"/>
          <w:rtl/>
        </w:rPr>
        <w:t>3 -</w:t>
      </w:r>
      <w:r w:rsidRPr="00BB23EF">
        <w:rPr>
          <w:rFonts w:cs="Traditional Arabic"/>
          <w:sz w:val="20"/>
          <w:szCs w:val="30"/>
          <w:rtl/>
        </w:rPr>
        <w:tab/>
      </w:r>
      <w:r w:rsidRPr="00BB23EF">
        <w:rPr>
          <w:rFonts w:cs="Traditional Arabic"/>
          <w:i/>
          <w:iCs/>
          <w:sz w:val="20"/>
          <w:szCs w:val="30"/>
          <w:rtl/>
        </w:rPr>
        <w:t xml:space="preserve">يرحب </w:t>
      </w:r>
      <w:r w:rsidRPr="00BB23EF">
        <w:rPr>
          <w:rFonts w:cs="Traditional Arabic"/>
          <w:sz w:val="20"/>
          <w:szCs w:val="30"/>
          <w:rtl/>
        </w:rPr>
        <w:t>مع التقدير بالعرض المقدم من كندا بأن تترأس ذلك الفريق حتى الدورة الثامنة للفريق العامل المفتوح العضوية؛</w:t>
      </w:r>
    </w:p>
    <w:p w:rsidR="004622E5" w:rsidRPr="00BB23EF" w:rsidRDefault="004622E5" w:rsidP="004622E5">
      <w:pPr>
        <w:spacing w:after="120" w:line="400" w:lineRule="exact"/>
        <w:ind w:left="1440" w:firstLine="720"/>
        <w:jc w:val="both"/>
        <w:rPr>
          <w:rFonts w:cs="Traditional Arabic"/>
          <w:sz w:val="20"/>
          <w:szCs w:val="30"/>
          <w:rtl/>
        </w:rPr>
      </w:pPr>
      <w:r w:rsidRPr="00BB23EF">
        <w:rPr>
          <w:rFonts w:cs="Traditional Arabic"/>
          <w:sz w:val="20"/>
          <w:szCs w:val="30"/>
          <w:rtl/>
        </w:rPr>
        <w:t>4 -</w:t>
      </w:r>
      <w:r w:rsidRPr="00BB23EF">
        <w:rPr>
          <w:rFonts w:cs="Traditional Arabic"/>
          <w:sz w:val="20"/>
          <w:szCs w:val="30"/>
          <w:rtl/>
        </w:rPr>
        <w:tab/>
      </w:r>
      <w:r w:rsidRPr="00BB23EF">
        <w:rPr>
          <w:rFonts w:cs="Traditional Arabic"/>
          <w:i/>
          <w:iCs/>
          <w:sz w:val="20"/>
          <w:szCs w:val="30"/>
          <w:rtl/>
        </w:rPr>
        <w:t>يدعو</w:t>
      </w:r>
      <w:r w:rsidRPr="00BB23EF">
        <w:rPr>
          <w:rFonts w:cs="Traditional Arabic"/>
          <w:sz w:val="20"/>
          <w:szCs w:val="30"/>
          <w:rtl/>
        </w:rPr>
        <w:t xml:space="preserve"> الأطراف وأصحاب المصلحة إلى ترشيح خبراء، من بينهم خبراء عاملون في إطار اتفاقية ستكهولم، مثل أعضاء ومراقبين في لجنة استعراض الملوثات العضوية الثابتة، حتى 15 كانون الثاني/يناير 2012، للمشاركة في الفريق الصغير العامل بين الدورات، أو لتحديث الترشيحات السابقة حسب الاقتضاء؛</w:t>
      </w:r>
    </w:p>
    <w:p w:rsidR="004622E5" w:rsidRPr="00BB23EF" w:rsidRDefault="004622E5" w:rsidP="004622E5">
      <w:pPr>
        <w:spacing w:after="120" w:line="400" w:lineRule="exact"/>
        <w:ind w:left="1440" w:firstLine="720"/>
        <w:jc w:val="both"/>
        <w:rPr>
          <w:rFonts w:cs="Traditional Arabic"/>
          <w:sz w:val="20"/>
          <w:szCs w:val="30"/>
          <w:rtl/>
        </w:rPr>
      </w:pPr>
      <w:r w:rsidRPr="00BB23EF">
        <w:rPr>
          <w:rFonts w:cs="Traditional Arabic"/>
          <w:sz w:val="20"/>
          <w:szCs w:val="30"/>
          <w:rtl/>
        </w:rPr>
        <w:t>5 -</w:t>
      </w:r>
      <w:r w:rsidRPr="00BB23EF">
        <w:rPr>
          <w:rFonts w:cs="Traditional Arabic"/>
          <w:sz w:val="20"/>
          <w:szCs w:val="30"/>
          <w:rtl/>
        </w:rPr>
        <w:tab/>
      </w:r>
      <w:r w:rsidRPr="00BB23EF">
        <w:rPr>
          <w:rFonts w:cs="Traditional Arabic"/>
          <w:i/>
          <w:iCs/>
          <w:sz w:val="20"/>
          <w:szCs w:val="30"/>
          <w:rtl/>
        </w:rPr>
        <w:t xml:space="preserve">يطلب </w:t>
      </w:r>
      <w:r w:rsidRPr="00BB23EF">
        <w:rPr>
          <w:rFonts w:cs="Traditional Arabic"/>
          <w:sz w:val="20"/>
          <w:szCs w:val="30"/>
          <w:rtl/>
        </w:rPr>
        <w:t>إلى الفريق الصغير العامل بين الدورات إعداد مشروع برنامج عمل للاضطلاع بالأنشطة المبينة في الفقرات الفرعية 1 (أ) - (د) من هذا المقرر، بما في ذلك، على سبيل المثال، تقييم أي المواد الكيميائية أو مجموعات المواد الكيميائية تتطلب إعداد مبادئ توجيهية تقنية خاصة جديدة وأي مبادئ توجيهية تقنية خاصة قائمة ينبغي تحديثها بحلول 30 آذار/مارس 2012، لنشرها على الموقع الشبكي لاتفاقية بازل؛</w:t>
      </w:r>
    </w:p>
    <w:p w:rsidR="004622E5" w:rsidRPr="00BB23EF" w:rsidRDefault="004622E5" w:rsidP="004622E5">
      <w:pPr>
        <w:spacing w:after="120" w:line="400" w:lineRule="exact"/>
        <w:ind w:left="1440" w:firstLine="720"/>
        <w:jc w:val="both"/>
        <w:rPr>
          <w:rFonts w:cs="Traditional Arabic"/>
          <w:sz w:val="20"/>
          <w:szCs w:val="30"/>
          <w:rtl/>
        </w:rPr>
      </w:pPr>
      <w:r w:rsidRPr="00BB23EF">
        <w:rPr>
          <w:rFonts w:cs="Traditional Arabic"/>
          <w:sz w:val="20"/>
          <w:szCs w:val="30"/>
          <w:rtl/>
        </w:rPr>
        <w:t>6 -</w:t>
      </w:r>
      <w:r w:rsidRPr="00BB23EF">
        <w:rPr>
          <w:rFonts w:cs="Traditional Arabic"/>
          <w:sz w:val="20"/>
          <w:szCs w:val="30"/>
          <w:rtl/>
        </w:rPr>
        <w:tab/>
      </w:r>
      <w:r w:rsidRPr="00BB23EF">
        <w:rPr>
          <w:rFonts w:cs="Traditional Arabic"/>
          <w:i/>
          <w:iCs/>
          <w:sz w:val="20"/>
          <w:szCs w:val="30"/>
          <w:rtl/>
        </w:rPr>
        <w:t xml:space="preserve">يدعو </w:t>
      </w:r>
      <w:r w:rsidRPr="00BB23EF">
        <w:rPr>
          <w:rFonts w:cs="Traditional Arabic"/>
          <w:sz w:val="20"/>
          <w:szCs w:val="30"/>
          <w:rtl/>
        </w:rPr>
        <w:t>الأطراف والجهات الأخرى إلى تقديم تعليقات على مشروع برنامج العمل بحلول 15</w:t>
      </w:r>
      <w:r>
        <w:rPr>
          <w:rFonts w:cs="Traditional Arabic"/>
          <w:sz w:val="20"/>
          <w:szCs w:val="30"/>
          <w:rtl/>
        </w:rPr>
        <w:t xml:space="preserve"> أيار/</w:t>
      </w:r>
      <w:r w:rsidRPr="00BB23EF">
        <w:rPr>
          <w:rFonts w:cs="Traditional Arabic"/>
          <w:sz w:val="20"/>
          <w:szCs w:val="30"/>
          <w:rtl/>
        </w:rPr>
        <w:t>مايو 2012 لنشرها على الموقع الشبكي لاتفاقية بازل؛</w:t>
      </w:r>
    </w:p>
    <w:p w:rsidR="004622E5" w:rsidRPr="00BB23EF" w:rsidRDefault="004622E5" w:rsidP="004622E5">
      <w:pPr>
        <w:spacing w:after="120" w:line="400" w:lineRule="exact"/>
        <w:ind w:left="1440" w:firstLine="720"/>
        <w:jc w:val="both"/>
        <w:rPr>
          <w:rFonts w:cs="Traditional Arabic"/>
          <w:sz w:val="20"/>
          <w:szCs w:val="30"/>
          <w:rtl/>
        </w:rPr>
      </w:pPr>
      <w:r w:rsidRPr="00BB23EF">
        <w:rPr>
          <w:rFonts w:cs="Traditional Arabic"/>
          <w:sz w:val="20"/>
          <w:szCs w:val="30"/>
          <w:rtl/>
        </w:rPr>
        <w:t>7 -</w:t>
      </w:r>
      <w:r w:rsidRPr="00BB23EF">
        <w:rPr>
          <w:rFonts w:cs="Traditional Arabic"/>
          <w:sz w:val="20"/>
          <w:szCs w:val="30"/>
          <w:rtl/>
        </w:rPr>
        <w:tab/>
      </w:r>
      <w:r w:rsidRPr="00BB23EF">
        <w:rPr>
          <w:rFonts w:cs="Traditional Arabic"/>
          <w:i/>
          <w:iCs/>
          <w:sz w:val="20"/>
          <w:szCs w:val="30"/>
          <w:rtl/>
        </w:rPr>
        <w:t xml:space="preserve">يطلب </w:t>
      </w:r>
      <w:r w:rsidRPr="00BB23EF">
        <w:rPr>
          <w:rFonts w:cs="Traditional Arabic"/>
          <w:sz w:val="20"/>
          <w:szCs w:val="30"/>
          <w:rtl/>
        </w:rPr>
        <w:t>إلى الفريق الصغير العامل بين الدورات إعداد برنامج عمل منقح، يضع في اعتباره التعليقات المتلقاة، كي ينظر فيه الفريق العامل المفتوح العضوية في دورته الثامنة؛</w:t>
      </w:r>
    </w:p>
    <w:p w:rsidR="004622E5" w:rsidRPr="00BB23EF" w:rsidRDefault="004622E5" w:rsidP="004622E5">
      <w:pPr>
        <w:spacing w:after="120" w:line="400" w:lineRule="exact"/>
        <w:ind w:left="1440" w:firstLine="720"/>
        <w:jc w:val="both"/>
        <w:rPr>
          <w:rFonts w:cs="Traditional Arabic"/>
          <w:sz w:val="20"/>
          <w:szCs w:val="30"/>
          <w:rtl/>
        </w:rPr>
      </w:pPr>
      <w:r w:rsidRPr="00BB23EF">
        <w:rPr>
          <w:rFonts w:cs="Traditional Arabic"/>
          <w:sz w:val="20"/>
          <w:szCs w:val="30"/>
          <w:rtl/>
        </w:rPr>
        <w:t>8 -</w:t>
      </w:r>
      <w:r w:rsidRPr="00BB23EF">
        <w:rPr>
          <w:rFonts w:cs="Traditional Arabic"/>
          <w:sz w:val="20"/>
          <w:szCs w:val="30"/>
          <w:rtl/>
        </w:rPr>
        <w:tab/>
      </w:r>
      <w:r w:rsidRPr="00BB23EF">
        <w:rPr>
          <w:rFonts w:cs="Traditional Arabic"/>
          <w:i/>
          <w:iCs/>
          <w:sz w:val="20"/>
          <w:szCs w:val="30"/>
          <w:rtl/>
        </w:rPr>
        <w:t xml:space="preserve">يدعو </w:t>
      </w:r>
      <w:r w:rsidRPr="00BB23EF">
        <w:rPr>
          <w:rFonts w:cs="Traditional Arabic"/>
          <w:sz w:val="20"/>
          <w:szCs w:val="30"/>
          <w:rtl/>
        </w:rPr>
        <w:t>طرفاً أو أكثر إلى النظر في العمل كبلد رائد من أجل مواصلة إعداد المبادئ التوجيهية التقنية المشار إليها في الفقرة 1 (أ) من هذا المقرر، وإبلاغ الأمانة باستعدادها للقيام بذلك بحلول 31 أيار/مايو 2012؛</w:t>
      </w:r>
    </w:p>
    <w:p w:rsidR="004622E5" w:rsidRPr="00BB23EF" w:rsidRDefault="004622E5" w:rsidP="004622E5">
      <w:pPr>
        <w:spacing w:after="120" w:line="400" w:lineRule="exact"/>
        <w:ind w:left="1440" w:firstLine="720"/>
        <w:jc w:val="both"/>
        <w:rPr>
          <w:rFonts w:cs="Traditional Arabic"/>
          <w:sz w:val="20"/>
          <w:szCs w:val="30"/>
          <w:rtl/>
        </w:rPr>
      </w:pPr>
      <w:r w:rsidRPr="00BB23EF">
        <w:rPr>
          <w:rFonts w:cs="Traditional Arabic"/>
          <w:sz w:val="20"/>
          <w:szCs w:val="30"/>
          <w:rtl/>
        </w:rPr>
        <w:lastRenderedPageBreak/>
        <w:t>9 -</w:t>
      </w:r>
      <w:r w:rsidRPr="00BB23EF">
        <w:rPr>
          <w:rFonts w:cs="Traditional Arabic"/>
          <w:sz w:val="20"/>
          <w:szCs w:val="30"/>
          <w:rtl/>
        </w:rPr>
        <w:tab/>
      </w:r>
      <w:r w:rsidRPr="00BB23EF">
        <w:rPr>
          <w:rFonts w:cs="Traditional Arabic"/>
          <w:i/>
          <w:iCs/>
          <w:sz w:val="20"/>
          <w:szCs w:val="30"/>
          <w:rtl/>
        </w:rPr>
        <w:t xml:space="preserve">يدعو </w:t>
      </w:r>
      <w:r w:rsidRPr="00BB23EF">
        <w:rPr>
          <w:rFonts w:cs="Traditional Arabic"/>
          <w:sz w:val="20"/>
          <w:szCs w:val="30"/>
          <w:rtl/>
        </w:rPr>
        <w:t>البلد الرائد أو البلدان الرائدة، إذا تم اختيار أي منها، أو الفريق الصغير العامل بين الدورات، إذا لم يتم اختيار أي بلد رائد، إلى إعداد مخطط أول، قدر الإمكان، للمبادئ التوجيهية التقنية العامة المحدثة أو مبادئ توجيهية تقنية خاصة جديدة أو محدثة، كي ينظر فيها الفريق العامل المفتوح العضوية في دورته الثامنة.</w:t>
      </w:r>
    </w:p>
    <w:p w:rsidR="008C689F" w:rsidRDefault="008C689F"/>
    <w:sectPr w:rsidR="008C689F" w:rsidSect="008C689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1FD" w:rsidRDefault="000771FD" w:rsidP="004622E5">
      <w:r>
        <w:separator/>
      </w:r>
    </w:p>
  </w:endnote>
  <w:endnote w:type="continuationSeparator" w:id="0">
    <w:p w:rsidR="000771FD" w:rsidRDefault="000771FD" w:rsidP="004622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1FD" w:rsidRDefault="000771FD" w:rsidP="004622E5">
      <w:r>
        <w:separator/>
      </w:r>
    </w:p>
  </w:footnote>
  <w:footnote w:type="continuationSeparator" w:id="0">
    <w:p w:rsidR="000771FD" w:rsidRDefault="000771FD" w:rsidP="004622E5">
      <w:r>
        <w:continuationSeparator/>
      </w:r>
    </w:p>
  </w:footnote>
  <w:footnote w:id="1">
    <w:p w:rsidR="004622E5" w:rsidRPr="00781753" w:rsidRDefault="004622E5" w:rsidP="004622E5">
      <w:pPr>
        <w:pStyle w:val="FootnoteText"/>
        <w:spacing w:after="80" w:line="320" w:lineRule="exact"/>
        <w:ind w:left="1440"/>
        <w:jc w:val="both"/>
        <w:rPr>
          <w:rFonts w:cs="Traditional Arabic"/>
          <w:sz w:val="18"/>
          <w:szCs w:val="26"/>
        </w:rPr>
      </w:pPr>
      <w:r w:rsidRPr="00781753">
        <w:rPr>
          <w:rFonts w:cs="Traditional Arabic"/>
          <w:sz w:val="18"/>
          <w:szCs w:val="26"/>
          <w:rtl/>
        </w:rPr>
        <w:t>(</w:t>
      </w:r>
      <w:r w:rsidRPr="00781753">
        <w:rPr>
          <w:rStyle w:val="FootnoteReference"/>
          <w:rFonts w:cs="Traditional Arabic"/>
          <w:sz w:val="18"/>
          <w:szCs w:val="26"/>
          <w:rtl/>
        </w:rPr>
        <w:footnoteRef/>
      </w:r>
      <w:r w:rsidRPr="00781753">
        <w:rPr>
          <w:rFonts w:cs="Traditional Arabic"/>
          <w:sz w:val="18"/>
          <w:szCs w:val="26"/>
          <w:rtl/>
        </w:rPr>
        <w:t>)</w:t>
      </w:r>
      <w:r w:rsidRPr="00781753">
        <w:rPr>
          <w:rFonts w:cs="Traditional Arabic"/>
          <w:sz w:val="18"/>
          <w:szCs w:val="26"/>
          <w:rtl/>
        </w:rPr>
        <w:tab/>
      </w:r>
      <w:r w:rsidRPr="00781753">
        <w:rPr>
          <w:rFonts w:cs="Traditional Arabic"/>
          <w:sz w:val="18"/>
          <w:szCs w:val="26"/>
        </w:rPr>
        <w:t>UNEP/POPS/POPRC.6/2/Rev.1</w:t>
      </w:r>
      <w:r w:rsidRPr="00781753">
        <w:rPr>
          <w:rFonts w:cs="Traditional Arabic" w:hint="cs"/>
          <w:sz w:val="18"/>
          <w:szCs w:val="26"/>
          <w:rtl/>
        </w:rPr>
        <w:t xml:space="preserve">، </w:t>
      </w:r>
      <w:r w:rsidRPr="00781753">
        <w:rPr>
          <w:rFonts w:cs="Traditional Arabic"/>
          <w:sz w:val="18"/>
          <w:szCs w:val="26"/>
        </w:rPr>
        <w:t>UNEP/POPS/POPRC.6/INF/5</w:t>
      </w:r>
      <w:r w:rsidRPr="00781753">
        <w:rPr>
          <w:rFonts w:cs="Traditional Arabic" w:hint="cs"/>
          <w:sz w:val="18"/>
          <w:szCs w:val="26"/>
          <w:rtl/>
        </w:rPr>
        <w:t xml:space="preserve">، </w:t>
      </w:r>
      <w:r w:rsidRPr="00781753">
        <w:rPr>
          <w:rFonts w:cs="Traditional Arabic"/>
          <w:sz w:val="18"/>
          <w:szCs w:val="26"/>
        </w:rPr>
        <w:t>UNEP/POPS/POPRC.6/13</w:t>
      </w:r>
      <w:r w:rsidRPr="00781753">
        <w:rPr>
          <w:rFonts w:cs="Traditional Arabic" w:hint="cs"/>
          <w:sz w:val="18"/>
          <w:szCs w:val="26"/>
          <w:rtl/>
        </w:rPr>
        <w:t>،</w:t>
      </w:r>
      <w:r w:rsidRPr="00781753">
        <w:rPr>
          <w:rFonts w:cs="Traditional Arabic"/>
          <w:sz w:val="18"/>
          <w:szCs w:val="26"/>
        </w:rPr>
        <w:t xml:space="preserve"> </w:t>
      </w:r>
      <w:r w:rsidRPr="00781753">
        <w:rPr>
          <w:rFonts w:cs="Traditional Arabic" w:hint="cs"/>
          <w:sz w:val="18"/>
          <w:szCs w:val="26"/>
          <w:rtl/>
        </w:rPr>
        <w:t>المرفق الأول، والمقرر ل ا م - 6/2.</w:t>
      </w:r>
    </w:p>
  </w:footnote>
  <w:footnote w:id="2">
    <w:p w:rsidR="004622E5" w:rsidRPr="00781753" w:rsidRDefault="004622E5" w:rsidP="004622E5">
      <w:pPr>
        <w:pStyle w:val="FootnoteText"/>
        <w:spacing w:after="80" w:line="320" w:lineRule="exact"/>
        <w:ind w:left="1440"/>
        <w:rPr>
          <w:rFonts w:cs="Traditional Arabic"/>
          <w:sz w:val="18"/>
          <w:szCs w:val="26"/>
        </w:rPr>
      </w:pPr>
      <w:r w:rsidRPr="00781753">
        <w:rPr>
          <w:rFonts w:cs="Traditional Arabic"/>
          <w:sz w:val="18"/>
          <w:szCs w:val="26"/>
          <w:rtl/>
        </w:rPr>
        <w:t>(</w:t>
      </w:r>
      <w:r w:rsidRPr="00781753">
        <w:rPr>
          <w:rStyle w:val="FootnoteReference"/>
          <w:rFonts w:cs="Traditional Arabic"/>
          <w:sz w:val="18"/>
          <w:szCs w:val="26"/>
          <w:rtl/>
        </w:rPr>
        <w:footnoteRef/>
      </w:r>
      <w:r w:rsidRPr="00781753">
        <w:rPr>
          <w:rFonts w:cs="Traditional Arabic"/>
          <w:sz w:val="18"/>
          <w:szCs w:val="26"/>
          <w:rtl/>
        </w:rPr>
        <w:t>)</w:t>
      </w:r>
      <w:r w:rsidRPr="00781753">
        <w:rPr>
          <w:rFonts w:cs="Traditional Arabic"/>
          <w:sz w:val="18"/>
          <w:szCs w:val="26"/>
          <w:rtl/>
        </w:rPr>
        <w:tab/>
      </w:r>
      <w:r w:rsidRPr="00781753">
        <w:rPr>
          <w:rFonts w:cs="Traditional Arabic"/>
          <w:sz w:val="18"/>
          <w:szCs w:val="26"/>
        </w:rPr>
        <w:t>UNEP/POPS/POPRC.6/13</w:t>
      </w:r>
      <w:r w:rsidRPr="00781753">
        <w:rPr>
          <w:rFonts w:cs="Traditional Arabic" w:hint="cs"/>
          <w:sz w:val="18"/>
          <w:szCs w:val="26"/>
          <w:rtl/>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4622E5"/>
    <w:rsid w:val="000771FD"/>
    <w:rsid w:val="004622E5"/>
    <w:rsid w:val="008C68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2E5"/>
    <w:pPr>
      <w:bidi/>
      <w:spacing w:after="0" w:line="240" w:lineRule="auto"/>
    </w:pPr>
    <w:rPr>
      <w:rFonts w:ascii="Times New Roman" w:eastAsia="Times New Roman" w:hAnsi="Times New Roman"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
    <w:basedOn w:val="Normal"/>
    <w:link w:val="FootnoteTextChar"/>
    <w:semiHidden/>
    <w:rsid w:val="004622E5"/>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
    <w:basedOn w:val="DefaultParagraphFont"/>
    <w:link w:val="FootnoteText"/>
    <w:semiHidden/>
    <w:rsid w:val="004622E5"/>
    <w:rPr>
      <w:rFonts w:ascii="Times New Roman" w:eastAsia="Times New Roman" w:hAnsi="Times New Roman" w:cs="Simplified Arabic"/>
      <w:sz w:val="20"/>
      <w:szCs w:val="20"/>
    </w:rPr>
  </w:style>
  <w:style w:type="character" w:styleId="FootnoteReference">
    <w:name w:val="footnote reference"/>
    <w:aliases w:val="16 Point,Superscript 6 Point,ftref"/>
    <w:basedOn w:val="DefaultParagraphFont"/>
    <w:semiHidden/>
    <w:rsid w:val="004622E5"/>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3610</Characters>
  <Application>Microsoft Office Word</Application>
  <DocSecurity>0</DocSecurity>
  <Lines>30</Lines>
  <Paragraphs>8</Paragraphs>
  <ScaleCrop>false</ScaleCrop>
  <Company>BRS</Company>
  <LinksUpToDate>false</LinksUpToDate>
  <CharactersWithSpaces>4235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2018-02-21T16:17:00Z</dcterms:created>
  <dcterms:modified xsi:type="dcterms:W3CDTF">2018-02-21T16:17:00Z</dcterms:modified>
</cp:coreProperties>
</file>