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107DB" w14:textId="77777777" w:rsidR="00D857FB" w:rsidRPr="002A632F" w:rsidRDefault="00D857FB" w:rsidP="00D857FB">
      <w:pPr>
        <w:pStyle w:val="CH1"/>
        <w:tabs>
          <w:tab w:val="left" w:pos="1814"/>
          <w:tab w:val="left" w:pos="2381"/>
          <w:tab w:val="left" w:pos="2948"/>
          <w:tab w:val="left" w:pos="3515"/>
          <w:tab w:val="left" w:pos="4082"/>
        </w:tabs>
        <w:rPr>
          <w:rFonts w:eastAsia="SimSun"/>
          <w:sz w:val="24"/>
          <w:szCs w:val="24"/>
          <w:lang w:eastAsia="zh-CN"/>
        </w:rPr>
      </w:pPr>
      <w:bookmarkStart w:id="0" w:name="_Hlk106790242"/>
      <w:r w:rsidRPr="002A632F">
        <w:rPr>
          <w:rFonts w:eastAsia="SimSun"/>
          <w:sz w:val="24"/>
          <w:szCs w:val="24"/>
          <w:lang w:val="zh-CN" w:eastAsia="zh-CN"/>
        </w:rPr>
        <w:tab/>
      </w:r>
      <w:r w:rsidRPr="00866584">
        <w:rPr>
          <w:rFonts w:eastAsia="SimHei"/>
          <w:bCs/>
          <w:sz w:val="32"/>
          <w:szCs w:val="32"/>
          <w:lang w:val="zh-CN" w:eastAsia="zh-CN"/>
        </w:rPr>
        <w:tab/>
        <w:t>BC-15/10</w:t>
      </w:r>
      <w:r w:rsidRPr="00866584">
        <w:rPr>
          <w:rFonts w:eastAsia="SimHei"/>
          <w:bCs/>
          <w:sz w:val="32"/>
          <w:szCs w:val="32"/>
          <w:lang w:val="zh-CN" w:eastAsia="zh-CN"/>
        </w:rPr>
        <w:t>：关于塑料废物无害环境管理的技术准则</w:t>
      </w:r>
      <w:bookmarkStart w:id="1" w:name="_Hlk106790228"/>
      <w:bookmarkEnd w:id="1"/>
    </w:p>
    <w:bookmarkEnd w:id="0"/>
    <w:p w14:paraId="0F774A68" w14:textId="77777777" w:rsidR="00D857FB" w:rsidRPr="00866584" w:rsidRDefault="00D857FB" w:rsidP="00D857FB">
      <w:pPr>
        <w:tabs>
          <w:tab w:val="left" w:pos="624"/>
        </w:tabs>
        <w:spacing w:line="240" w:lineRule="auto"/>
        <w:ind w:left="1247" w:firstLine="624"/>
        <w:rPr>
          <w:rFonts w:ascii="KaiTi" w:eastAsia="KaiTi" w:hAnsi="KaiTi"/>
          <w:i/>
          <w:iCs/>
          <w:sz w:val="24"/>
          <w:szCs w:val="24"/>
        </w:rPr>
      </w:pPr>
      <w:r w:rsidRPr="00866584">
        <w:rPr>
          <w:rFonts w:ascii="KaiTi" w:eastAsia="KaiTi" w:hAnsi="KaiTi"/>
          <w:sz w:val="24"/>
          <w:szCs w:val="24"/>
          <w:lang w:val="zh-CN"/>
        </w:rPr>
        <w:t>缔约方大会，</w:t>
      </w:r>
    </w:p>
    <w:p w14:paraId="6E6E3658"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r w:rsidRPr="00866584">
        <w:rPr>
          <w:rFonts w:ascii="KaiTi" w:eastAsia="KaiTi" w:hAnsi="KaiTi"/>
          <w:sz w:val="24"/>
          <w:szCs w:val="24"/>
          <w:lang w:val="zh-CN" w:eastAsia="zh-CN"/>
        </w:rPr>
        <w:t>赞赏地欢迎</w:t>
      </w:r>
      <w:r w:rsidRPr="002A632F">
        <w:rPr>
          <w:rFonts w:eastAsia="SimSun"/>
          <w:sz w:val="24"/>
          <w:szCs w:val="24"/>
          <w:lang w:val="zh-CN" w:eastAsia="zh-CN"/>
        </w:rPr>
        <w:t>担任共同牵头国家的中国、日本和大不列颠及北爱尔兰联合王国的政府和</w:t>
      </w:r>
      <w:r w:rsidRPr="002A632F">
        <w:rPr>
          <w:rFonts w:eastAsia="SimSun"/>
          <w:sz w:val="24"/>
          <w:szCs w:val="24"/>
          <w:lang w:val="zh-CN" w:eastAsia="zh-CN"/>
        </w:rPr>
        <w:t>BC-14/13</w:t>
      </w:r>
      <w:r w:rsidRPr="002A632F">
        <w:rPr>
          <w:rFonts w:eastAsia="SimSun"/>
          <w:sz w:val="24"/>
          <w:szCs w:val="24"/>
          <w:lang w:val="zh-CN" w:eastAsia="zh-CN"/>
        </w:rPr>
        <w:t>号决定第</w:t>
      </w:r>
      <w:r w:rsidRPr="002A632F">
        <w:rPr>
          <w:rFonts w:eastAsia="SimSun"/>
          <w:sz w:val="24"/>
          <w:szCs w:val="24"/>
          <w:lang w:val="zh-CN" w:eastAsia="zh-CN"/>
        </w:rPr>
        <w:t>20</w:t>
      </w:r>
      <w:r w:rsidRPr="002A632F">
        <w:rPr>
          <w:rFonts w:eastAsia="SimSun"/>
          <w:sz w:val="24"/>
          <w:szCs w:val="24"/>
          <w:lang w:val="zh-CN" w:eastAsia="zh-CN"/>
        </w:rPr>
        <w:t>段设立的小型闭会期间工作组对围绕关于塑料废物的识别和无害环境管理及其处置的技术准则开展的工作</w:t>
      </w:r>
      <w:proofErr w:type="gramStart"/>
      <w:r>
        <w:rPr>
          <w:rFonts w:eastAsia="SimSun" w:hint="eastAsia"/>
          <w:sz w:val="24"/>
          <w:szCs w:val="24"/>
          <w:lang w:val="zh-CN" w:eastAsia="zh-CN"/>
        </w:rPr>
        <w:t>作出</w:t>
      </w:r>
      <w:proofErr w:type="gramEnd"/>
      <w:r w:rsidRPr="002A632F">
        <w:rPr>
          <w:rFonts w:eastAsia="SimSun"/>
          <w:sz w:val="24"/>
          <w:szCs w:val="24"/>
          <w:lang w:val="zh-CN" w:eastAsia="zh-CN"/>
        </w:rPr>
        <w:t>的贡献；</w:t>
      </w:r>
    </w:p>
    <w:p w14:paraId="1527C183" w14:textId="77777777" w:rsidR="00D857FB" w:rsidRPr="002A632F" w:rsidRDefault="00D857FB" w:rsidP="00D857FB">
      <w:pPr>
        <w:pStyle w:val="Normal-pool"/>
        <w:numPr>
          <w:ilvl w:val="0"/>
          <w:numId w:val="17"/>
        </w:numPr>
        <w:spacing w:after="120"/>
        <w:ind w:left="1276" w:firstLine="709"/>
        <w:jc w:val="both"/>
        <w:rPr>
          <w:rFonts w:eastAsia="SimSun"/>
          <w:i/>
          <w:sz w:val="24"/>
          <w:szCs w:val="24"/>
          <w:lang w:eastAsia="zh-CN"/>
        </w:rPr>
      </w:pPr>
      <w:bookmarkStart w:id="2" w:name="_Hlk106790550"/>
      <w:r w:rsidRPr="00866584">
        <w:rPr>
          <w:rFonts w:ascii="KaiTi" w:eastAsia="KaiTi" w:hAnsi="KaiTi"/>
          <w:sz w:val="24"/>
          <w:szCs w:val="24"/>
          <w:lang w:val="zh-CN" w:eastAsia="zh-CN"/>
        </w:rPr>
        <w:t>特别指出</w:t>
      </w:r>
      <w:r w:rsidRPr="002A632F">
        <w:rPr>
          <w:rFonts w:eastAsia="SimSun"/>
          <w:sz w:val="24"/>
          <w:szCs w:val="24"/>
          <w:lang w:val="zh-CN" w:eastAsia="zh-CN"/>
        </w:rPr>
        <w:t>及时增订本决定第</w:t>
      </w:r>
      <w:r w:rsidRPr="002A632F">
        <w:rPr>
          <w:rFonts w:eastAsia="SimSun"/>
          <w:sz w:val="24"/>
          <w:szCs w:val="24"/>
          <w:lang w:val="zh-CN" w:eastAsia="zh-CN"/>
        </w:rPr>
        <w:t>1</w:t>
      </w:r>
      <w:r w:rsidRPr="002A632F">
        <w:rPr>
          <w:rFonts w:eastAsia="SimSun"/>
          <w:sz w:val="24"/>
          <w:szCs w:val="24"/>
          <w:lang w:val="zh-CN" w:eastAsia="zh-CN"/>
        </w:rPr>
        <w:t>段所述技术准则的重要性，并注意到缔约方大会第十五次会议期间在最后确定这些准则方面取得的进展，这体现在塑料废物无害环境管理技术准则增订草案中；</w:t>
      </w:r>
      <w:r w:rsidRPr="007E552A">
        <w:rPr>
          <w:rStyle w:val="FootnoteReference"/>
          <w:sz w:val="24"/>
          <w:szCs w:val="24"/>
          <w:lang w:val="zh-CN"/>
        </w:rPr>
        <w:footnoteReference w:id="1"/>
      </w:r>
      <w:bookmarkStart w:id="3" w:name="_Hlk106803596"/>
      <w:bookmarkStart w:id="4" w:name="_Toc49228095"/>
      <w:bookmarkEnd w:id="3"/>
    </w:p>
    <w:p w14:paraId="313775AA"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bookmarkStart w:id="5" w:name="_Hlk106790362"/>
      <w:bookmarkEnd w:id="2"/>
      <w:bookmarkEnd w:id="4"/>
      <w:r w:rsidRPr="00866584">
        <w:rPr>
          <w:rFonts w:ascii="KaiTi" w:eastAsia="KaiTi" w:hAnsi="KaiTi"/>
          <w:sz w:val="24"/>
          <w:szCs w:val="24"/>
          <w:lang w:val="zh-CN" w:eastAsia="zh-CN"/>
        </w:rPr>
        <w:t>决定</w:t>
      </w:r>
      <w:r w:rsidRPr="002A632F">
        <w:rPr>
          <w:rFonts w:eastAsia="SimSun"/>
          <w:sz w:val="24"/>
          <w:szCs w:val="24"/>
          <w:lang w:val="zh-CN" w:eastAsia="zh-CN"/>
        </w:rPr>
        <w:t>延长</w:t>
      </w:r>
      <w:r w:rsidRPr="002A632F">
        <w:rPr>
          <w:rFonts w:eastAsia="SimSun"/>
          <w:sz w:val="24"/>
          <w:szCs w:val="24"/>
          <w:lang w:val="zh-CN" w:eastAsia="zh-CN"/>
        </w:rPr>
        <w:t>BC-14/13</w:t>
      </w:r>
      <w:r w:rsidRPr="002A632F">
        <w:rPr>
          <w:rFonts w:eastAsia="SimSun"/>
          <w:sz w:val="24"/>
          <w:szCs w:val="24"/>
          <w:lang w:val="zh-CN" w:eastAsia="zh-CN"/>
        </w:rPr>
        <w:t>号决定第</w:t>
      </w:r>
      <w:r w:rsidRPr="002A632F">
        <w:rPr>
          <w:rFonts w:eastAsia="SimSun"/>
          <w:sz w:val="24"/>
          <w:szCs w:val="24"/>
          <w:lang w:val="zh-CN" w:eastAsia="zh-CN"/>
        </w:rPr>
        <w:t>20</w:t>
      </w:r>
      <w:r w:rsidRPr="002A632F">
        <w:rPr>
          <w:rFonts w:eastAsia="SimSun"/>
          <w:sz w:val="24"/>
          <w:szCs w:val="24"/>
          <w:lang w:val="zh-CN" w:eastAsia="zh-CN"/>
        </w:rPr>
        <w:t>段设立的小型闭会期间工作组的任务期限；</w:t>
      </w:r>
    </w:p>
    <w:bookmarkEnd w:id="5"/>
    <w:p w14:paraId="37A9C1A4"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缔约方和观察员提名更多专家参加小型闭会期间工作组，并在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日前将提名通知秘书处；</w:t>
      </w:r>
    </w:p>
    <w:p w14:paraId="067683FA"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r w:rsidRPr="00866584">
        <w:rPr>
          <w:rFonts w:ascii="KaiTi" w:eastAsia="KaiTi" w:hAnsi="KaiTi"/>
          <w:sz w:val="24"/>
          <w:szCs w:val="24"/>
          <w:lang w:val="zh-CN" w:eastAsia="zh-CN"/>
        </w:rPr>
        <w:t>又邀请</w:t>
      </w:r>
      <w:r w:rsidRPr="002A632F">
        <w:rPr>
          <w:rFonts w:eastAsia="SimSun"/>
          <w:sz w:val="24"/>
          <w:szCs w:val="24"/>
          <w:lang w:val="zh-CN" w:eastAsia="zh-CN"/>
        </w:rPr>
        <w:t>缔约方和观察员在</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9</w:t>
      </w:r>
      <w:r w:rsidRPr="002A632F">
        <w:rPr>
          <w:rFonts w:eastAsia="SimSun"/>
          <w:sz w:val="24"/>
          <w:szCs w:val="24"/>
          <w:lang w:val="zh-CN" w:eastAsia="zh-CN"/>
        </w:rPr>
        <w:t>月</w:t>
      </w:r>
      <w:r w:rsidRPr="002A632F">
        <w:rPr>
          <w:rFonts w:eastAsia="SimSun"/>
          <w:sz w:val="24"/>
          <w:szCs w:val="24"/>
          <w:lang w:val="zh-CN" w:eastAsia="zh-CN"/>
        </w:rPr>
        <w:t>16</w:t>
      </w:r>
      <w:r w:rsidRPr="002A632F">
        <w:rPr>
          <w:rFonts w:eastAsia="SimSun"/>
          <w:sz w:val="24"/>
          <w:szCs w:val="24"/>
          <w:lang w:val="zh-CN" w:eastAsia="zh-CN"/>
        </w:rPr>
        <w:t>日前向秘书处提交关于本决定第</w:t>
      </w:r>
      <w:r w:rsidRPr="002A632F">
        <w:rPr>
          <w:rFonts w:eastAsia="SimSun"/>
          <w:sz w:val="24"/>
          <w:szCs w:val="24"/>
          <w:lang w:val="zh-CN" w:eastAsia="zh-CN"/>
        </w:rPr>
        <w:t>2</w:t>
      </w:r>
      <w:r w:rsidRPr="002A632F">
        <w:rPr>
          <w:rFonts w:eastAsia="SimSun"/>
          <w:sz w:val="24"/>
          <w:szCs w:val="24"/>
          <w:lang w:val="zh-CN" w:eastAsia="zh-CN"/>
        </w:rPr>
        <w:t>段所述技术准则增订草案的一般性评论意见和案文提案，其中应提及具体段落和表格，酌情附上相关理由陈述，并请秘书处在公约网站上公布这些一般性意见和提案；</w:t>
      </w:r>
    </w:p>
    <w:p w14:paraId="0BB1C7AB"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bookmarkStart w:id="6" w:name="_Hlk106790657"/>
      <w:r w:rsidRPr="00866584">
        <w:rPr>
          <w:rFonts w:ascii="KaiTi" w:eastAsia="KaiTi" w:hAnsi="KaiTi"/>
          <w:sz w:val="24"/>
          <w:szCs w:val="24"/>
          <w:lang w:val="zh-CN" w:eastAsia="zh-CN"/>
        </w:rPr>
        <w:t>邀请</w:t>
      </w:r>
      <w:r w:rsidRPr="002A632F">
        <w:rPr>
          <w:rFonts w:eastAsia="SimSun"/>
          <w:sz w:val="24"/>
          <w:szCs w:val="24"/>
          <w:lang w:val="zh-CN" w:eastAsia="zh-CN"/>
        </w:rPr>
        <w:t>担任共同牵头国家的中国、日本和大不列颠及北爱尔兰联合王国的政府与小型闭会期间工作组协商，结合缔约方大会第十五次会议期间的讨论情况和根据本决定第</w:t>
      </w:r>
      <w:r w:rsidRPr="002A632F">
        <w:rPr>
          <w:rFonts w:eastAsia="SimSun"/>
          <w:sz w:val="24"/>
          <w:szCs w:val="24"/>
          <w:lang w:val="zh-CN" w:eastAsia="zh-CN"/>
        </w:rPr>
        <w:t>5</w:t>
      </w:r>
      <w:r w:rsidRPr="002A632F">
        <w:rPr>
          <w:rFonts w:eastAsia="SimSun"/>
          <w:sz w:val="24"/>
          <w:szCs w:val="24"/>
          <w:lang w:val="zh-CN" w:eastAsia="zh-CN"/>
        </w:rPr>
        <w:t>段收到的一般性评论意见和案文提案，编写关于塑料废物无害环境管理的技术准则的进一步增订版，供不限成员名额工作组第十三次会议审议；</w:t>
      </w:r>
    </w:p>
    <w:bookmarkEnd w:id="6"/>
    <w:p w14:paraId="3E45A74A"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r w:rsidRPr="00866584">
        <w:rPr>
          <w:rFonts w:ascii="KaiTi" w:eastAsia="KaiTi" w:hAnsi="KaiTi"/>
          <w:sz w:val="24"/>
          <w:szCs w:val="24"/>
          <w:lang w:val="zh-CN" w:eastAsia="zh-CN"/>
        </w:rPr>
        <w:t>决定</w:t>
      </w:r>
      <w:r w:rsidRPr="002A632F">
        <w:rPr>
          <w:rFonts w:eastAsia="SimSun"/>
          <w:sz w:val="24"/>
          <w:szCs w:val="24"/>
          <w:lang w:val="zh-CN" w:eastAsia="zh-CN"/>
        </w:rPr>
        <w:t>小型闭会期间工作组将以电子方式运作，并且在资源允许的情况下还将举行面对面会议；</w:t>
      </w:r>
    </w:p>
    <w:p w14:paraId="112F9641"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秘书处向联合国环境规划署执行主任和根据联合国环境大会题为</w:t>
      </w:r>
      <w:r w:rsidRPr="00866584">
        <w:rPr>
          <w:rFonts w:ascii="SimSun" w:eastAsia="SimSun" w:hAnsi="SimSun"/>
          <w:sz w:val="24"/>
          <w:szCs w:val="24"/>
          <w:lang w:val="zh-CN" w:eastAsia="zh-CN"/>
        </w:rPr>
        <w:t>“</w:t>
      </w:r>
      <w:r w:rsidRPr="002A632F">
        <w:rPr>
          <w:rFonts w:eastAsia="SimSun"/>
          <w:sz w:val="24"/>
          <w:szCs w:val="24"/>
          <w:lang w:val="zh-CN" w:eastAsia="zh-CN"/>
        </w:rPr>
        <w:t>结束塑料污染：制定具有法律约束力的国际文书</w:t>
      </w:r>
      <w:r w:rsidRPr="00866584">
        <w:rPr>
          <w:rFonts w:ascii="SimSun" w:eastAsia="SimSun" w:hAnsi="SimSun"/>
          <w:sz w:val="24"/>
          <w:szCs w:val="24"/>
          <w:lang w:val="zh-CN" w:eastAsia="zh-CN"/>
        </w:rPr>
        <w:t>”</w:t>
      </w:r>
      <w:r w:rsidRPr="002A632F">
        <w:rPr>
          <w:rFonts w:eastAsia="SimSun"/>
          <w:sz w:val="24"/>
          <w:szCs w:val="24"/>
          <w:lang w:val="zh-CN" w:eastAsia="zh-CN"/>
        </w:rPr>
        <w:t>的第</w:t>
      </w:r>
      <w:r w:rsidRPr="002A632F">
        <w:rPr>
          <w:rFonts w:eastAsia="SimSun"/>
          <w:sz w:val="24"/>
          <w:szCs w:val="24"/>
          <w:lang w:val="zh-CN" w:eastAsia="zh-CN"/>
        </w:rPr>
        <w:t>5/14</w:t>
      </w:r>
      <w:r w:rsidRPr="002A632F">
        <w:rPr>
          <w:rFonts w:eastAsia="SimSun"/>
          <w:sz w:val="24"/>
          <w:szCs w:val="24"/>
          <w:lang w:val="zh-CN" w:eastAsia="zh-CN"/>
        </w:rPr>
        <w:t>号决议设立的政府间谈判委员会递交本决定，并报告塑料废物无害环境管理技术准则增订草案方面的进展情况；</w:t>
      </w:r>
    </w:p>
    <w:p w14:paraId="69A40351" w14:textId="77777777" w:rsidR="00D857FB" w:rsidRPr="002A632F" w:rsidRDefault="00D857FB" w:rsidP="00D857FB">
      <w:pPr>
        <w:pStyle w:val="Normal-pool"/>
        <w:numPr>
          <w:ilvl w:val="0"/>
          <w:numId w:val="17"/>
        </w:numPr>
        <w:spacing w:after="120"/>
        <w:ind w:left="1276" w:firstLine="709"/>
        <w:jc w:val="both"/>
        <w:rPr>
          <w:rFonts w:eastAsia="SimSun"/>
          <w:sz w:val="24"/>
          <w:szCs w:val="24"/>
          <w:lang w:eastAsia="zh-CN"/>
        </w:rPr>
      </w:pPr>
      <w:r w:rsidRPr="00866584">
        <w:rPr>
          <w:rFonts w:ascii="KaiTi" w:eastAsia="KaiTi" w:hAnsi="KaiTi"/>
          <w:sz w:val="24"/>
          <w:szCs w:val="24"/>
          <w:lang w:val="zh-CN" w:eastAsia="zh-CN"/>
        </w:rPr>
        <w:t>又请</w:t>
      </w:r>
      <w:r w:rsidRPr="002A632F">
        <w:rPr>
          <w:rFonts w:eastAsia="SimSun"/>
          <w:sz w:val="24"/>
          <w:szCs w:val="24"/>
          <w:lang w:val="zh-CN" w:eastAsia="zh-CN"/>
        </w:rPr>
        <w:t>秘书处向不限成员名额工作组第十三次会议和缔约方大会第十六次会议报告本决定的执行情况。</w:t>
      </w:r>
    </w:p>
    <w:p w14:paraId="53A24FD6" w14:textId="6A70AB48" w:rsidR="00F935A6" w:rsidRPr="00D857FB" w:rsidRDefault="00F935A6" w:rsidP="00D857FB">
      <w:pPr>
        <w:pStyle w:val="Normal-pool"/>
        <w:jc w:val="both"/>
        <w:rPr>
          <w:rFonts w:eastAsia="SimSun"/>
          <w:sz w:val="24"/>
          <w:szCs w:val="24"/>
          <w:lang w:eastAsia="zh-CN"/>
        </w:rPr>
      </w:pPr>
    </w:p>
    <w:sectPr w:rsidR="00F935A6" w:rsidRPr="00D857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C491A" w14:textId="77777777" w:rsidR="00006009" w:rsidRDefault="00006009" w:rsidP="00FC11E6">
      <w:pPr>
        <w:spacing w:after="0" w:line="240" w:lineRule="auto"/>
      </w:pPr>
      <w:r>
        <w:separator/>
      </w:r>
    </w:p>
  </w:endnote>
  <w:endnote w:type="continuationSeparator" w:id="0">
    <w:p w14:paraId="32ADD9A1" w14:textId="77777777" w:rsidR="00006009" w:rsidRDefault="00006009"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50D92" w14:textId="77777777" w:rsidR="00006009" w:rsidRDefault="00006009" w:rsidP="00FC11E6">
      <w:pPr>
        <w:spacing w:after="0" w:line="240" w:lineRule="auto"/>
      </w:pPr>
      <w:r>
        <w:separator/>
      </w:r>
    </w:p>
  </w:footnote>
  <w:footnote w:type="continuationSeparator" w:id="0">
    <w:p w14:paraId="42C71FFD" w14:textId="77777777" w:rsidR="00006009" w:rsidRDefault="00006009" w:rsidP="00FC11E6">
      <w:pPr>
        <w:spacing w:after="0" w:line="240" w:lineRule="auto"/>
      </w:pPr>
      <w:r>
        <w:continuationSeparator/>
      </w:r>
    </w:p>
  </w:footnote>
  <w:footnote w:id="1">
    <w:p w14:paraId="727BEF69" w14:textId="77777777" w:rsidR="00D857FB" w:rsidRPr="007E552A" w:rsidRDefault="00D857FB" w:rsidP="00D857FB">
      <w:pPr>
        <w:pStyle w:val="Normal-pool"/>
        <w:spacing w:before="20" w:after="40"/>
        <w:ind w:left="1253"/>
        <w:rPr>
          <w:rFonts w:eastAsia="SimSun"/>
        </w:rPr>
      </w:pPr>
      <w:r w:rsidRPr="007E552A">
        <w:rPr>
          <w:rStyle w:val="FootnoteReference"/>
          <w:lang w:val="zh-CN"/>
        </w:rPr>
        <w:footnoteRef/>
      </w:r>
      <w:r w:rsidRPr="007E552A">
        <w:rPr>
          <w:rFonts w:eastAsia="SimSun"/>
        </w:rPr>
        <w:t xml:space="preserve"> UNEP/CHW.15/6/Add.7/Rev.1</w:t>
      </w:r>
      <w:r w:rsidRPr="007E552A">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0"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3"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516194">
    <w:abstractNumId w:val="6"/>
    <w:lvlOverride w:ilvl="0">
      <w:lvl w:ilvl="0" w:tplc="9260D008">
        <w:start w:val="1"/>
        <w:numFmt w:val="decimal"/>
        <w:lvlText w:val="%1."/>
        <w:lvlJc w:val="left"/>
        <w:pPr>
          <w:ind w:left="720" w:hanging="360"/>
        </w:pPr>
        <w:rPr>
          <w:i w:val="0"/>
          <w:iCs/>
        </w:rPr>
      </w:lvl>
    </w:lvlOverride>
  </w:num>
  <w:num w:numId="2" w16cid:durableId="1342774805">
    <w:abstractNumId w:val="7"/>
    <w:lvlOverride w:ilvl="0">
      <w:lvl w:ilvl="0" w:tplc="0B82E394">
        <w:start w:val="1"/>
        <w:numFmt w:val="lowerLetter"/>
        <w:lvlText w:val="(%1)"/>
        <w:lvlJc w:val="left"/>
        <w:pPr>
          <w:ind w:left="720" w:hanging="360"/>
        </w:pPr>
        <w:rPr>
          <w:rFonts w:hint="default"/>
        </w:rPr>
      </w:lvl>
    </w:lvlOverride>
  </w:num>
  <w:num w:numId="3" w16cid:durableId="541482266">
    <w:abstractNumId w:val="8"/>
    <w:lvlOverride w:ilvl="0">
      <w:lvl w:ilvl="0" w:tplc="FFFFFFFF">
        <w:start w:val="1"/>
        <w:numFmt w:val="decimal"/>
        <w:lvlText w:val="%1."/>
        <w:lvlJc w:val="left"/>
        <w:pPr>
          <w:ind w:left="720" w:hanging="360"/>
        </w:pPr>
        <w:rPr>
          <w:i w:val="0"/>
          <w:iCs/>
        </w:rPr>
      </w:lvl>
    </w:lvlOverride>
  </w:num>
  <w:num w:numId="4" w16cid:durableId="76900579">
    <w:abstractNumId w:val="1"/>
    <w:lvlOverride w:ilvl="0">
      <w:lvl w:ilvl="0" w:tplc="0809000F">
        <w:start w:val="1"/>
        <w:numFmt w:val="decimal"/>
        <w:lvlText w:val="%1."/>
        <w:lvlJc w:val="left"/>
        <w:pPr>
          <w:ind w:left="720" w:hanging="360"/>
        </w:pPr>
      </w:lvl>
    </w:lvlOverride>
  </w:num>
  <w:num w:numId="5" w16cid:durableId="509682620">
    <w:abstractNumId w:val="11"/>
    <w:lvlOverride w:ilvl="0">
      <w:lvl w:ilvl="0" w:tplc="0809000F">
        <w:start w:val="1"/>
        <w:numFmt w:val="decimal"/>
        <w:lvlText w:val="%1."/>
        <w:lvlJc w:val="left"/>
        <w:pPr>
          <w:ind w:left="720" w:hanging="360"/>
        </w:pPr>
      </w:lvl>
    </w:lvlOverride>
  </w:num>
  <w:num w:numId="6" w16cid:durableId="1933778142">
    <w:abstractNumId w:val="14"/>
    <w:lvlOverride w:ilvl="0">
      <w:lvl w:ilvl="0" w:tplc="0B82E394">
        <w:start w:val="1"/>
        <w:numFmt w:val="lowerLetter"/>
        <w:lvlText w:val="(%1)"/>
        <w:lvlJc w:val="left"/>
        <w:pPr>
          <w:ind w:left="720" w:hanging="360"/>
        </w:pPr>
        <w:rPr>
          <w:rFonts w:hint="default"/>
        </w:rPr>
      </w:lvl>
    </w:lvlOverride>
  </w:num>
  <w:num w:numId="7" w16cid:durableId="562719092">
    <w:abstractNumId w:val="12"/>
    <w:lvlOverride w:ilvl="0">
      <w:lvl w:ilvl="0" w:tplc="0B82E394">
        <w:start w:val="1"/>
        <w:numFmt w:val="lowerLetter"/>
        <w:lvlText w:val="(%1)"/>
        <w:lvlJc w:val="left"/>
        <w:pPr>
          <w:ind w:left="2231" w:hanging="360"/>
        </w:pPr>
        <w:rPr>
          <w:rFonts w:hint="default"/>
        </w:rPr>
      </w:lvl>
    </w:lvlOverride>
  </w:num>
  <w:num w:numId="8" w16cid:durableId="541944942">
    <w:abstractNumId w:val="16"/>
    <w:lvlOverride w:ilvl="0">
      <w:lvl w:ilvl="0" w:tplc="0B82E394">
        <w:start w:val="1"/>
        <w:numFmt w:val="lowerLetter"/>
        <w:lvlText w:val="(%1)"/>
        <w:lvlJc w:val="left"/>
        <w:pPr>
          <w:ind w:left="720" w:hanging="360"/>
        </w:pPr>
        <w:rPr>
          <w:rFonts w:hint="default"/>
        </w:rPr>
      </w:lvl>
    </w:lvlOverride>
  </w:num>
  <w:num w:numId="9" w16cid:durableId="1093362229">
    <w:abstractNumId w:val="0"/>
    <w:lvlOverride w:ilvl="0">
      <w:lvl w:ilvl="0" w:tplc="0B82E394">
        <w:start w:val="1"/>
        <w:numFmt w:val="lowerLetter"/>
        <w:lvlText w:val="(%1)"/>
        <w:lvlJc w:val="left"/>
        <w:pPr>
          <w:ind w:left="720" w:hanging="360"/>
        </w:pPr>
        <w:rPr>
          <w:rFonts w:hint="default"/>
        </w:rPr>
      </w:lvl>
    </w:lvlOverride>
  </w:num>
  <w:num w:numId="10" w16cid:durableId="1112242020">
    <w:abstractNumId w:val="9"/>
    <w:lvlOverride w:ilvl="0">
      <w:lvl w:ilvl="0" w:tplc="FFFFFFFF">
        <w:start w:val="1"/>
        <w:numFmt w:val="lowerLetter"/>
        <w:lvlText w:val="(%1)"/>
        <w:lvlJc w:val="left"/>
        <w:pPr>
          <w:ind w:left="2174" w:hanging="360"/>
        </w:pPr>
        <w:rPr>
          <w:rFonts w:hint="default"/>
        </w:rPr>
      </w:lvl>
    </w:lvlOverride>
  </w:num>
  <w:num w:numId="11" w16cid:durableId="970476093">
    <w:abstractNumId w:val="4"/>
    <w:lvlOverride w:ilvl="0">
      <w:lvl w:ilvl="0" w:tplc="8C229E08">
        <w:start w:val="1"/>
        <w:numFmt w:val="decimal"/>
        <w:lvlText w:val="%1."/>
        <w:lvlJc w:val="left"/>
        <w:pPr>
          <w:ind w:left="720" w:hanging="360"/>
        </w:pPr>
        <w:rPr>
          <w:i w:val="0"/>
          <w:iCs w:val="0"/>
        </w:rPr>
      </w:lvl>
    </w:lvlOverride>
  </w:num>
  <w:num w:numId="12" w16cid:durableId="864173611">
    <w:abstractNumId w:val="2"/>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15"/>
    <w:lvlOverride w:ilvl="0">
      <w:lvl w:ilvl="0" w:tplc="026427D6">
        <w:start w:val="1"/>
        <w:numFmt w:val="decimal"/>
        <w:lvlText w:val="%1."/>
        <w:lvlJc w:val="left"/>
        <w:pPr>
          <w:ind w:left="720" w:hanging="360"/>
        </w:pPr>
        <w:rPr>
          <w:i w:val="0"/>
          <w:iCs/>
        </w:rPr>
      </w:lvl>
    </w:lvlOverride>
  </w:num>
  <w:num w:numId="14" w16cid:durableId="2033724970">
    <w:abstractNumId w:val="10"/>
    <w:lvlOverride w:ilvl="0">
      <w:lvl w:ilvl="0" w:tplc="0B82E394">
        <w:start w:val="1"/>
        <w:numFmt w:val="lowerLetter"/>
        <w:lvlText w:val="(%1)"/>
        <w:lvlJc w:val="left"/>
        <w:pPr>
          <w:ind w:left="720" w:hanging="360"/>
        </w:pPr>
        <w:rPr>
          <w:rFonts w:hint="default"/>
        </w:rPr>
      </w:lvl>
    </w:lvlOverride>
  </w:num>
  <w:num w:numId="15" w16cid:durableId="864905716">
    <w:abstractNumId w:val="3"/>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13"/>
    <w:lvlOverride w:ilvl="0">
      <w:lvl w:ilvl="0" w:tplc="2000000F">
        <w:start w:val="1"/>
        <w:numFmt w:val="decimal"/>
        <w:lvlText w:val="%1."/>
        <w:lvlJc w:val="left"/>
        <w:pPr>
          <w:ind w:left="1967" w:hanging="360"/>
        </w:pPr>
        <w:rPr>
          <w:rFonts w:hint="default"/>
          <w:i w:val="0"/>
        </w:rPr>
      </w:lvl>
    </w:lvlOverride>
  </w:num>
  <w:num w:numId="17" w16cid:durableId="1882666196">
    <w:abstractNumId w:val="5"/>
    <w:lvlOverride w:ilvl="0">
      <w:lvl w:ilvl="0" w:tplc="FFFFFFFF">
        <w:start w:val="1"/>
        <w:numFmt w:val="decimal"/>
        <w:lvlText w:val="%1."/>
        <w:lvlJc w:val="left"/>
        <w:pPr>
          <w:ind w:left="1967" w:hanging="360"/>
        </w:pPr>
        <w:rPr>
          <w:rFonts w:hint="default"/>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06009"/>
    <w:rsid w:val="00064220"/>
    <w:rsid w:val="00157C5A"/>
    <w:rsid w:val="002C0517"/>
    <w:rsid w:val="007A6A20"/>
    <w:rsid w:val="00836B73"/>
    <w:rsid w:val="009A214F"/>
    <w:rsid w:val="00C84536"/>
    <w:rsid w:val="00D857FB"/>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644</Characters>
  <Application>Microsoft Office Word</Application>
  <DocSecurity>0</DocSecurity>
  <Lines>5</Lines>
  <Paragraphs>1</Paragraphs>
  <ScaleCrop>false</ScaleCrop>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2023-04-25T09:43:00Z</dcterms:created>
  <dcterms:modified xsi:type="dcterms:W3CDTF">2023-04-25T09:43:00Z</dcterms:modified>
</cp:coreProperties>
</file>