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4EBF1" w14:textId="77777777" w:rsidR="00884140" w:rsidRPr="00B831E7" w:rsidRDefault="00884140" w:rsidP="00884140">
      <w:pPr>
        <w:pStyle w:val="CH1"/>
        <w:spacing w:before="0"/>
        <w:rPr>
          <w:lang w:eastAsia="zh-CN"/>
        </w:rPr>
      </w:pPr>
      <w:bookmarkStart w:id="0" w:name="_Hlk106790242"/>
      <w:r w:rsidRPr="00B831E7">
        <w:rPr>
          <w:lang w:eastAsia="zh-CN"/>
        </w:rPr>
        <w:tab/>
      </w:r>
      <w:r w:rsidRPr="00B831E7">
        <w:rPr>
          <w:lang w:eastAsia="zh-CN"/>
        </w:rPr>
        <w:tab/>
        <w:t xml:space="preserve">BC-15/10: Technical guidelines </w:t>
      </w:r>
      <w:bookmarkStart w:id="1" w:name="_Hlk106790228"/>
      <w:r w:rsidRPr="00B831E7">
        <w:rPr>
          <w:lang w:eastAsia="zh-CN"/>
        </w:rPr>
        <w:t xml:space="preserve">on the environmentally sound management of plastic </w:t>
      </w:r>
      <w:r w:rsidRPr="00B831E7">
        <w:t>wastes</w:t>
      </w:r>
      <w:r w:rsidRPr="00B831E7">
        <w:rPr>
          <w:lang w:eastAsia="zh-CN"/>
        </w:rPr>
        <w:t xml:space="preserve"> </w:t>
      </w:r>
      <w:bookmarkEnd w:id="1"/>
    </w:p>
    <w:bookmarkEnd w:id="0"/>
    <w:p w14:paraId="487C6FCA" w14:textId="77777777" w:rsidR="00884140" w:rsidRPr="00B831E7" w:rsidRDefault="00884140" w:rsidP="00884140">
      <w:pPr>
        <w:tabs>
          <w:tab w:val="left" w:pos="624"/>
        </w:tabs>
        <w:spacing w:after="120"/>
        <w:ind w:left="1247" w:firstLine="624"/>
        <w:rPr>
          <w:rFonts w:eastAsia="Times New Roman"/>
          <w:i/>
          <w:iCs/>
          <w:lang w:val="en-GB"/>
        </w:rPr>
      </w:pPr>
      <w:r w:rsidRPr="00B831E7">
        <w:rPr>
          <w:rFonts w:eastAsia="Times New Roman"/>
          <w:i/>
          <w:iCs/>
          <w:lang w:val="en-GB"/>
        </w:rPr>
        <w:t>The Conference of the Parties</w:t>
      </w:r>
    </w:p>
    <w:p w14:paraId="68D98028"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r w:rsidRPr="00B831E7">
        <w:rPr>
          <w:i/>
        </w:rPr>
        <w:t>Welcomes with appreciation</w:t>
      </w:r>
      <w:r w:rsidRPr="00B831E7">
        <w:t xml:space="preserve"> the contributions made by the Governments of China, Japan and the United Kingdom of Great Britain and Northern Ireland, as co-lead countries, and the small intersessional working group established pursuant to paragraph 20 of decision BC-14/13 to the tasks pertaining to the technical guidelines for the identification and environmentally sound management of plastic wastes and for their </w:t>
      </w:r>
      <w:proofErr w:type="gramStart"/>
      <w:r w:rsidRPr="00B831E7">
        <w:t>disposal;</w:t>
      </w:r>
      <w:proofErr w:type="gramEnd"/>
    </w:p>
    <w:p w14:paraId="7B166E52"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rPr>
          <w:i/>
        </w:rPr>
      </w:pPr>
      <w:bookmarkStart w:id="2" w:name="_Hlk106790550"/>
      <w:r w:rsidRPr="00B831E7">
        <w:rPr>
          <w:i/>
          <w:iCs/>
        </w:rPr>
        <w:t xml:space="preserve">Underscores </w:t>
      </w:r>
      <w:r w:rsidRPr="00B831E7">
        <w:t>the</w:t>
      </w:r>
      <w:r w:rsidRPr="00B831E7">
        <w:rPr>
          <w:i/>
          <w:iCs/>
        </w:rPr>
        <w:t xml:space="preserve"> </w:t>
      </w:r>
      <w:r w:rsidRPr="00B831E7">
        <w:t xml:space="preserve">importance of the timely updating of the technical guidelines referred to in paragraph 1 of the present decision and notes the progress achieved during the fifteenth meeting of the Conference of the Parties towards their finalization, as reflected in the </w:t>
      </w:r>
      <w:bookmarkStart w:id="3" w:name="_Hlk106803596"/>
      <w:r w:rsidRPr="00B831E7">
        <w:t xml:space="preserve">draft updated </w:t>
      </w:r>
      <w:bookmarkStart w:id="4" w:name="_Toc49228095"/>
      <w:r w:rsidRPr="00B831E7">
        <w:t>technical guidelines on the environmentally sound management of plastic wastes</w:t>
      </w:r>
      <w:bookmarkEnd w:id="3"/>
      <w:r w:rsidRPr="00B831E7">
        <w:t>;</w:t>
      </w:r>
      <w:r w:rsidRPr="00B831E7">
        <w:rPr>
          <w:rStyle w:val="FootnoteReference"/>
        </w:rPr>
        <w:footnoteReference w:id="1"/>
      </w:r>
    </w:p>
    <w:p w14:paraId="2693404B"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bookmarkStart w:id="5" w:name="_Hlk106790362"/>
      <w:bookmarkEnd w:id="2"/>
      <w:bookmarkEnd w:id="4"/>
      <w:r w:rsidRPr="00B831E7">
        <w:rPr>
          <w:i/>
        </w:rPr>
        <w:t>Decides</w:t>
      </w:r>
      <w:r w:rsidRPr="00B831E7">
        <w:t xml:space="preserve"> to extend the mandate of the small intersessional working group established pursuant to paragraph 20 of decision BC-14/</w:t>
      </w:r>
      <w:proofErr w:type="gramStart"/>
      <w:r w:rsidRPr="00B831E7">
        <w:t>13;</w:t>
      </w:r>
      <w:proofErr w:type="gramEnd"/>
      <w:r w:rsidRPr="00B831E7">
        <w:t xml:space="preserve"> </w:t>
      </w:r>
    </w:p>
    <w:bookmarkEnd w:id="5"/>
    <w:p w14:paraId="7A164480"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r w:rsidRPr="00B831E7">
        <w:rPr>
          <w:i/>
        </w:rPr>
        <w:t>Invites</w:t>
      </w:r>
      <w:r w:rsidRPr="00B831E7">
        <w:t xml:space="preserve"> Parties and observers to nominate additional experts to participate in the small intersessional working group, and to inform the Secretariat of their nominations, by 31 July </w:t>
      </w:r>
      <w:proofErr w:type="gramStart"/>
      <w:r w:rsidRPr="00B831E7">
        <w:t>2022;</w:t>
      </w:r>
      <w:proofErr w:type="gramEnd"/>
    </w:p>
    <w:p w14:paraId="434ED8BD"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r w:rsidRPr="00B831E7">
        <w:rPr>
          <w:i/>
        </w:rPr>
        <w:t>Also invites</w:t>
      </w:r>
      <w:r w:rsidRPr="00B831E7">
        <w:t xml:space="preserve"> Parties and observers to submit to the Secretariat, by 16 September 2022, general comments and textual proposals on the draft updated technical guidelines referred to in paragraph 2 of the present decision, referring to specific paragraphs and tables, together with related rationales, if possible, and as appropriate, and </w:t>
      </w:r>
      <w:r w:rsidRPr="00B831E7">
        <w:rPr>
          <w:iCs/>
        </w:rPr>
        <w:t>requests the Secretariat</w:t>
      </w:r>
      <w:r w:rsidRPr="00B831E7">
        <w:t xml:space="preserve"> to make the general comments and the proposals available on the Convention </w:t>
      </w:r>
      <w:proofErr w:type="gramStart"/>
      <w:r w:rsidRPr="00B831E7">
        <w:t>website;</w:t>
      </w:r>
      <w:proofErr w:type="gramEnd"/>
      <w:r w:rsidRPr="00B831E7">
        <w:t xml:space="preserve"> </w:t>
      </w:r>
    </w:p>
    <w:p w14:paraId="42DD966A"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bookmarkStart w:id="6" w:name="_Hlk106790657"/>
      <w:r w:rsidRPr="00B831E7">
        <w:rPr>
          <w:i/>
        </w:rPr>
        <w:t>Invites</w:t>
      </w:r>
      <w:r w:rsidRPr="00B831E7">
        <w:t xml:space="preserve"> the </w:t>
      </w:r>
      <w:r w:rsidRPr="00B831E7">
        <w:rPr>
          <w:iCs/>
        </w:rPr>
        <w:t xml:space="preserve">Governments of </w:t>
      </w:r>
      <w:r w:rsidRPr="00B831E7">
        <w:rPr>
          <w:color w:val="000000"/>
        </w:rPr>
        <w:t>China, Japan and the United Kingdom of Great Britain and Northern Ireland</w:t>
      </w:r>
      <w:r w:rsidRPr="00B831E7">
        <w:rPr>
          <w:iCs/>
        </w:rPr>
        <w:t>, as co-</w:t>
      </w:r>
      <w:r w:rsidRPr="00B831E7">
        <w:t>lead countries, in consultation with the small intersessional working group, to prepare a further updated version of the technical guidelines on the environmentally sound management of plastic wastes taking into account the discussion during the fifteenth meeting of the Conference of the Parties and the general comments and textual proposals received pursuant to paragraph 5 of the present decision, for consideration by the Open-ended Working Group at its thirteenth meeting;</w:t>
      </w:r>
    </w:p>
    <w:bookmarkEnd w:id="6"/>
    <w:p w14:paraId="49E02C7C"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r w:rsidRPr="00B831E7">
        <w:rPr>
          <w:i/>
          <w:iCs/>
        </w:rPr>
        <w:t>Decides</w:t>
      </w:r>
      <w:r w:rsidRPr="00B831E7">
        <w:t xml:space="preserve"> that the small intersessional working group will operate by electronic means and, subject to the availability of resources, will also hold face-to-face </w:t>
      </w:r>
      <w:proofErr w:type="gramStart"/>
      <w:r w:rsidRPr="00B831E7">
        <w:t>meetings;</w:t>
      </w:r>
      <w:proofErr w:type="gramEnd"/>
    </w:p>
    <w:p w14:paraId="381771EE"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r w:rsidRPr="00B831E7">
        <w:rPr>
          <w:i/>
          <w:iCs/>
        </w:rPr>
        <w:t>Requests</w:t>
      </w:r>
      <w:r w:rsidRPr="00B831E7">
        <w:t xml:space="preserve"> the Secretariat to transmit the present decision, and to report on the progress regarding the draft updated technical guidelines on the environmentally sound management of plastic wastes, to the Executive Director of the United Nations Environment Programme and to the intergovernmental negotiating committee established pursuant to </w:t>
      </w:r>
      <w:r w:rsidRPr="00B831E7">
        <w:rPr>
          <w:iCs/>
        </w:rPr>
        <w:t xml:space="preserve">United Nations Environment Assembly resolution 5/14, entitled “End plastic pollution: </w:t>
      </w:r>
      <w:r w:rsidRPr="00B831E7">
        <w:t>towards an international legally binding instrument</w:t>
      </w:r>
      <w:proofErr w:type="gramStart"/>
      <w:r w:rsidRPr="00B831E7">
        <w:t>”;</w:t>
      </w:r>
      <w:proofErr w:type="gramEnd"/>
    </w:p>
    <w:p w14:paraId="767A8BFA" w14:textId="77777777" w:rsidR="00884140" w:rsidRPr="00B831E7" w:rsidRDefault="00884140" w:rsidP="00884140">
      <w:pPr>
        <w:pStyle w:val="Normal-pool"/>
        <w:numPr>
          <w:ilvl w:val="0"/>
          <w:numId w:val="7"/>
        </w:numPr>
        <w:tabs>
          <w:tab w:val="clear" w:pos="2381"/>
          <w:tab w:val="clear" w:pos="2948"/>
          <w:tab w:val="clear" w:pos="3515"/>
          <w:tab w:val="clear" w:pos="4082"/>
        </w:tabs>
        <w:spacing w:after="120"/>
        <w:ind w:left="1276" w:firstLine="709"/>
      </w:pPr>
      <w:r w:rsidRPr="00B831E7">
        <w:rPr>
          <w:i/>
          <w:iCs/>
        </w:rPr>
        <w:t>Also requests</w:t>
      </w:r>
      <w:r w:rsidRPr="00B831E7">
        <w:t xml:space="preserve"> the Secretariat to report on the implementation of the present decision to the Open-ended Working Group at its thirteenth meeting and to the Conference of the Parties at its sixteenth meeting. </w:t>
      </w:r>
    </w:p>
    <w:p w14:paraId="1D7F4CB3" w14:textId="26C11F06" w:rsidR="00F935A6" w:rsidRPr="00884140" w:rsidRDefault="00F935A6" w:rsidP="00884140">
      <w:pPr>
        <w:spacing w:after="120"/>
        <w:rPr>
          <w:rFonts w:eastAsia="Times New Roman"/>
          <w:lang w:val="en-GB"/>
        </w:rPr>
      </w:pPr>
    </w:p>
    <w:sectPr w:rsidR="00F935A6" w:rsidRPr="008841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2B824" w14:textId="77777777" w:rsidR="000C2D8D" w:rsidRDefault="000C2D8D" w:rsidP="004956AB">
      <w:r>
        <w:separator/>
      </w:r>
    </w:p>
  </w:endnote>
  <w:endnote w:type="continuationSeparator" w:id="0">
    <w:p w14:paraId="432A148D" w14:textId="77777777" w:rsidR="000C2D8D" w:rsidRDefault="000C2D8D"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80FA5" w14:textId="77777777" w:rsidR="000C2D8D" w:rsidRDefault="000C2D8D" w:rsidP="004956AB">
      <w:r>
        <w:separator/>
      </w:r>
    </w:p>
  </w:footnote>
  <w:footnote w:type="continuationSeparator" w:id="0">
    <w:p w14:paraId="6F0FCEC6" w14:textId="77777777" w:rsidR="000C2D8D" w:rsidRDefault="000C2D8D" w:rsidP="004956AB">
      <w:r>
        <w:continuationSeparator/>
      </w:r>
    </w:p>
  </w:footnote>
  <w:footnote w:id="1">
    <w:p w14:paraId="2D421D2C" w14:textId="77777777" w:rsidR="00884140" w:rsidRPr="000629DC" w:rsidRDefault="00884140" w:rsidP="00884140">
      <w:pPr>
        <w:pStyle w:val="Footnote-Text"/>
        <w:rPr>
          <w:szCs w:val="18"/>
        </w:rPr>
      </w:pPr>
      <w:r w:rsidRPr="000629DC">
        <w:rPr>
          <w:rStyle w:val="FootnoteReference"/>
        </w:rPr>
        <w:footnoteRef/>
      </w:r>
      <w:r w:rsidRPr="000629DC">
        <w:rPr>
          <w:szCs w:val="18"/>
        </w:rPr>
        <w:t xml:space="preserve"> UNEP/CHW.15/6/Add.7/Rev.1.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49535577">
    <w:abstractNumId w:val="2"/>
  </w:num>
  <w:num w:numId="2" w16cid:durableId="1473252469">
    <w:abstractNumId w:val="0"/>
  </w:num>
  <w:num w:numId="3" w16cid:durableId="1856917451">
    <w:abstractNumId w:val="6"/>
  </w:num>
  <w:num w:numId="4" w16cid:durableId="1559896294">
    <w:abstractNumId w:val="4"/>
  </w:num>
  <w:num w:numId="5" w16cid:durableId="1636064875">
    <w:abstractNumId w:val="1"/>
  </w:num>
  <w:num w:numId="6" w16cid:durableId="1075932777">
    <w:abstractNumId w:val="5"/>
  </w:num>
  <w:num w:numId="7" w16cid:durableId="1541168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0C2D8D"/>
    <w:rsid w:val="004956AB"/>
    <w:rsid w:val="00836B73"/>
    <w:rsid w:val="00884140"/>
    <w:rsid w:val="00C24420"/>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Words>
  <Characters>2660</Characters>
  <Application>Microsoft Office Word</Application>
  <DocSecurity>0</DocSecurity>
  <Lines>22</Lines>
  <Paragraphs>6</Paragraphs>
  <ScaleCrop>false</ScaleCrop>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2023-04-24T13:01:00Z</dcterms:created>
  <dcterms:modified xsi:type="dcterms:W3CDTF">2023-04-24T13:01:00Z</dcterms:modified>
</cp:coreProperties>
</file>