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7C14D" w14:textId="77777777" w:rsidR="00226B6C" w:rsidRPr="00DE0F03" w:rsidRDefault="00226B6C" w:rsidP="00226B6C">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bookmarkStart w:id="0" w:name="_Hlk106790788"/>
      <w:r w:rsidRPr="00DE0F03">
        <w:rPr>
          <w:rFonts w:ascii="Simplified Arabic" w:hAnsi="Simplified Arabic" w:cs="Simplified Arabic"/>
          <w:b/>
          <w:bCs/>
          <w:sz w:val="26"/>
          <w:szCs w:val="26"/>
          <w:rtl/>
          <w:lang w:val="en-GB" w:eastAsia="zh-TW"/>
        </w:rPr>
        <w:t>ا ب-15/11</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المبادئ التوجيهية التقنية للإدارة السليمة بيئياً لنفايات بطاريات الرصاص الحمضية ونفايات البطاريات الأخرى</w:t>
      </w:r>
      <w:bookmarkStart w:id="1" w:name="_Hlk106790759"/>
      <w:bookmarkEnd w:id="1"/>
    </w:p>
    <w:bookmarkEnd w:id="0"/>
    <w:p w14:paraId="213F65D7" w14:textId="77777777" w:rsidR="00226B6C" w:rsidRPr="00DE0F03" w:rsidRDefault="00226B6C" w:rsidP="00226B6C">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1832ABCB" w14:textId="77777777" w:rsidR="00226B6C" w:rsidRPr="00DE0F03" w:rsidRDefault="00226B6C" w:rsidP="00226B6C">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وقد</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دعوة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جمعية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للبيئة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قرارها</w:t>
      </w:r>
      <w:proofErr w:type="spellEnd"/>
      <w:r w:rsidRPr="00DE0F03">
        <w:rPr>
          <w:rFonts w:ascii="Simplified Arabic" w:hAnsi="Simplified Arabic" w:cs="Simplified Arabic"/>
          <w:sz w:val="24"/>
          <w:szCs w:val="24"/>
        </w:rPr>
        <w:t xml:space="preserve"> 3/9،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القضاء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التعرض</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للطلاء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المحتوي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الرصاص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الرصاص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الحمضية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تنقيح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الرصاص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الحمضية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يتعلق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بتطبيق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أنواع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التكنولوجيا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الجديدة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جوانب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مختلفة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نظم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w:t>
      </w:r>
    </w:p>
    <w:p w14:paraId="6AF5578C"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t>يشير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ا ب-6/22، </w:t>
      </w:r>
      <w:proofErr w:type="spellStart"/>
      <w:r w:rsidRPr="00DE0F03">
        <w:rPr>
          <w:rFonts w:ascii="Simplified Arabic" w:hAnsi="Simplified Arabic" w:cs="Simplified Arabic"/>
          <w:sz w:val="24"/>
          <w:szCs w:val="24"/>
        </w:rPr>
        <w:t>الذي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اعتمد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بموجبه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الرصاص</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الحمضي</w:t>
      </w:r>
      <w:r w:rsidRPr="00DE0F03">
        <w:rPr>
          <w:rFonts w:ascii="Simplified Arabic" w:hAnsi="Simplified Arabic" w:cs="Simplified Arabic" w:hint="cs"/>
          <w:sz w:val="24"/>
          <w:szCs w:val="24"/>
        </w:rPr>
        <w:t>ة</w:t>
      </w:r>
      <w:proofErr w:type="spellEnd"/>
      <w:r w:rsidRPr="00DE0F03">
        <w:rPr>
          <w:rFonts w:ascii="Simplified Arabic" w:hAnsi="Simplified Arabic" w:cs="Simplified Arabic" w:hint="cs"/>
          <w:sz w:val="24"/>
          <w:szCs w:val="24"/>
          <w:vertAlign w:val="superscript"/>
        </w:rPr>
        <w:t>(</w:t>
      </w:r>
      <w:proofErr w:type="gramEnd"/>
      <w:r w:rsidRPr="00DE0F03">
        <w:rPr>
          <w:rStyle w:val="FootnoteReference"/>
          <w:rFonts w:ascii="Simplified Arabic" w:hAnsi="Simplified Arabic" w:cs="Simplified Arabic"/>
          <w:sz w:val="24"/>
          <w:szCs w:val="24"/>
        </w:rPr>
        <w:footnoteReference w:id="1"/>
      </w:r>
      <w:r w:rsidRPr="00DE0F03">
        <w:rPr>
          <w:rFonts w:ascii="Simplified Arabic" w:hAnsi="Simplified Arabic" w:cs="Simplified Arabic" w:hint="cs"/>
          <w:sz w:val="24"/>
          <w:szCs w:val="24"/>
          <w:vertAlign w:val="superscript"/>
        </w:rPr>
        <w:t>)</w:t>
      </w:r>
      <w:r w:rsidRPr="00DE0F03">
        <w:rPr>
          <w:rFonts w:ascii="Simplified Arabic" w:hAnsi="Simplified Arabic" w:cs="Simplified Arabic" w:hint="cs"/>
          <w:sz w:val="24"/>
          <w:szCs w:val="24"/>
        </w:rPr>
        <w:t>؛</w:t>
      </w:r>
    </w:p>
    <w:p w14:paraId="612C76AA"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t>يقرر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ينبغي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تحديث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الرصاص</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الحمضية</w:t>
      </w:r>
      <w:proofErr w:type="spellEnd"/>
      <w:r w:rsidRPr="00DE0F03">
        <w:rPr>
          <w:rFonts w:ascii="Simplified Arabic" w:hAnsi="Simplified Arabic" w:cs="Simplified Arabic"/>
          <w:sz w:val="24"/>
          <w:szCs w:val="24"/>
        </w:rPr>
        <w:t>؛</w:t>
      </w:r>
      <w:bookmarkStart w:id="2" w:name="_Hlk106790869"/>
      <w:bookmarkEnd w:id="2"/>
      <w:proofErr w:type="gramEnd"/>
    </w:p>
    <w:p w14:paraId="01D14BAD"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t>يرحب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i/>
          <w:iCs/>
          <w:sz w:val="24"/>
          <w:szCs w:val="24"/>
        </w:rPr>
        <w:t>مع</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التقدير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بعرض</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أوروغواي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كبلد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رائد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تحديث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2 </w:t>
      </w:r>
      <w:proofErr w:type="spellStart"/>
      <w:r w:rsidRPr="00DE0F03">
        <w:rPr>
          <w:rFonts w:ascii="Simplified Arabic" w:hAnsi="Simplified Arabic" w:cs="Simplified Arabic" w:hint="cs"/>
          <w:sz w:val="24"/>
          <w:szCs w:val="24"/>
        </w:rPr>
        <w:t>من</w:t>
      </w:r>
      <w:proofErr w:type="spellEnd"/>
      <w:r w:rsidRPr="00DE0F03">
        <w:rPr>
          <w:rFonts w:ascii="Simplified Arabic" w:hAnsi="Simplified Arabic" w:cs="Simplified Arabic" w:hint="cs"/>
          <w:sz w:val="24"/>
          <w:szCs w:val="24"/>
        </w:rPr>
        <w:t xml:space="preserve"> </w:t>
      </w:r>
      <w:proofErr w:type="spellStart"/>
      <w:r w:rsidRPr="00DE0F03">
        <w:rPr>
          <w:rFonts w:ascii="Simplified Arabic" w:hAnsi="Simplified Arabic" w:cs="Simplified Arabic" w:hint="cs"/>
          <w:sz w:val="24"/>
          <w:szCs w:val="24"/>
        </w:rPr>
        <w:t>هذا</w:t>
      </w:r>
      <w:proofErr w:type="spellEnd"/>
      <w:r w:rsidRPr="00DE0F03">
        <w:rPr>
          <w:rFonts w:ascii="Simplified Arabic" w:hAnsi="Simplified Arabic" w:cs="Simplified Arabic" w:hint="cs"/>
          <w:sz w:val="24"/>
          <w:szCs w:val="24"/>
        </w:rPr>
        <w:t xml:space="preserve"> </w:t>
      </w:r>
      <w:proofErr w:type="spellStart"/>
      <w:r w:rsidRPr="00DE0F03">
        <w:rPr>
          <w:rFonts w:ascii="Simplified Arabic" w:hAnsi="Simplified Arabic" w:cs="Simplified Arabic" w:hint="cs"/>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ويدعو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الأخرى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كبلدان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رائدة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مشاركة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وإبلاغ</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بحلول</w:t>
      </w:r>
      <w:proofErr w:type="spellEnd"/>
      <w:r w:rsidRPr="00DE0F03">
        <w:rPr>
          <w:rFonts w:ascii="Simplified Arabic" w:hAnsi="Simplified Arabic" w:cs="Simplified Arabic"/>
          <w:sz w:val="24"/>
          <w:szCs w:val="24"/>
        </w:rPr>
        <w:t xml:space="preserve"> 31</w:t>
      </w:r>
      <w:r w:rsidRPr="00DE0F03">
        <w:rPr>
          <w:rFonts w:ascii="Simplified Arabic" w:hAnsi="Simplified Arabic" w:cs="Simplified Arabic" w:hint="cs"/>
          <w:sz w:val="24"/>
          <w:szCs w:val="24"/>
        </w:rPr>
        <w:t> </w:t>
      </w:r>
      <w:proofErr w:type="spellStart"/>
      <w:r w:rsidRPr="00DE0F03">
        <w:rPr>
          <w:rFonts w:ascii="Simplified Arabic" w:hAnsi="Simplified Arabic" w:cs="Simplified Arabic"/>
          <w:sz w:val="24"/>
          <w:szCs w:val="24"/>
        </w:rPr>
        <w:t>تموز</w:t>
      </w:r>
      <w:proofErr w:type="spellEnd"/>
      <w:r w:rsidRPr="00DE0F03">
        <w:rPr>
          <w:rFonts w:ascii="Simplified Arabic" w:hAnsi="Simplified Arabic" w:cs="Simplified Arabic"/>
          <w:sz w:val="24"/>
          <w:szCs w:val="24"/>
        </w:rPr>
        <w:t>/</w:t>
      </w:r>
      <w:proofErr w:type="spellStart"/>
      <w:r w:rsidRPr="00DE0F03">
        <w:rPr>
          <w:rFonts w:ascii="Simplified Arabic" w:hAnsi="Simplified Arabic" w:cs="Simplified Arabic"/>
          <w:sz w:val="24"/>
          <w:szCs w:val="24"/>
        </w:rPr>
        <w:t>يوليه</w:t>
      </w:r>
      <w:proofErr w:type="spellEnd"/>
      <w:r w:rsidRPr="00DE0F03">
        <w:rPr>
          <w:rFonts w:ascii="Simplified Arabic" w:hAnsi="Simplified Arabic" w:cs="Simplified Arabic"/>
          <w:sz w:val="24"/>
          <w:szCs w:val="24"/>
        </w:rPr>
        <w:t xml:space="preserve"> 2022 </w:t>
      </w:r>
      <w:proofErr w:type="spellStart"/>
      <w:r w:rsidRPr="00DE0F03">
        <w:rPr>
          <w:rFonts w:ascii="Simplified Arabic" w:hAnsi="Simplified Arabic" w:cs="Simplified Arabic"/>
          <w:sz w:val="24"/>
          <w:szCs w:val="24"/>
        </w:rPr>
        <w:t>باستعدادها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للقيام</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بذلك</w:t>
      </w:r>
      <w:proofErr w:type="spellEnd"/>
      <w:r w:rsidRPr="00DE0F03">
        <w:rPr>
          <w:rFonts w:ascii="Simplified Arabic" w:hAnsi="Simplified Arabic" w:cs="Simplified Arabic"/>
          <w:sz w:val="24"/>
          <w:szCs w:val="24"/>
        </w:rPr>
        <w:t>؛</w:t>
      </w:r>
      <w:proofErr w:type="gramEnd"/>
    </w:p>
    <w:p w14:paraId="5550DF3F"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t>يقرر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ينبغي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بخلاف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الرصاص</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الحمضية</w:t>
      </w:r>
      <w:proofErr w:type="spellEnd"/>
      <w:r w:rsidRPr="00DE0F03">
        <w:rPr>
          <w:rFonts w:ascii="Simplified Arabic" w:hAnsi="Simplified Arabic" w:cs="Simplified Arabic"/>
          <w:sz w:val="24"/>
          <w:szCs w:val="24"/>
        </w:rPr>
        <w:t>؛</w:t>
      </w:r>
      <w:bookmarkStart w:id="3" w:name="_Hlk106791256"/>
      <w:bookmarkStart w:id="4" w:name="_Hlk106791072"/>
      <w:bookmarkEnd w:id="3"/>
      <w:bookmarkEnd w:id="4"/>
      <w:proofErr w:type="gramEnd"/>
    </w:p>
    <w:p w14:paraId="1A9164F5"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t>يدعو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كبلدان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رائدة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4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وإبلاغ</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بحلول</w:t>
      </w:r>
      <w:proofErr w:type="spellEnd"/>
      <w:r w:rsidRPr="00DE0F03">
        <w:rPr>
          <w:rFonts w:ascii="Simplified Arabic" w:hAnsi="Simplified Arabic" w:cs="Simplified Arabic"/>
          <w:sz w:val="24"/>
          <w:szCs w:val="24"/>
        </w:rPr>
        <w:t xml:space="preserve"> 31 </w:t>
      </w:r>
      <w:proofErr w:type="spellStart"/>
      <w:r w:rsidRPr="00DE0F03">
        <w:rPr>
          <w:rFonts w:ascii="Simplified Arabic" w:hAnsi="Simplified Arabic" w:cs="Simplified Arabic"/>
          <w:sz w:val="24"/>
          <w:szCs w:val="24"/>
        </w:rPr>
        <w:t>تموز</w:t>
      </w:r>
      <w:proofErr w:type="spellEnd"/>
      <w:r w:rsidRPr="00DE0F03">
        <w:rPr>
          <w:rFonts w:ascii="Simplified Arabic" w:hAnsi="Simplified Arabic" w:cs="Simplified Arabic"/>
          <w:sz w:val="24"/>
          <w:szCs w:val="24"/>
        </w:rPr>
        <w:t>/</w:t>
      </w:r>
      <w:proofErr w:type="spellStart"/>
      <w:r w:rsidRPr="00DE0F03">
        <w:rPr>
          <w:rFonts w:ascii="Simplified Arabic" w:hAnsi="Simplified Arabic" w:cs="Simplified Arabic"/>
          <w:sz w:val="24"/>
          <w:szCs w:val="24"/>
        </w:rPr>
        <w:t>يوليه</w:t>
      </w:r>
      <w:proofErr w:type="spellEnd"/>
      <w:r w:rsidRPr="00DE0F03">
        <w:rPr>
          <w:rFonts w:ascii="Simplified Arabic" w:hAnsi="Simplified Arabic" w:cs="Simplified Arabic"/>
          <w:sz w:val="24"/>
          <w:szCs w:val="24"/>
        </w:rPr>
        <w:t xml:space="preserve"> 2022 </w:t>
      </w:r>
      <w:proofErr w:type="spellStart"/>
      <w:r w:rsidRPr="00DE0F03">
        <w:rPr>
          <w:rFonts w:ascii="Simplified Arabic" w:hAnsi="Simplified Arabic" w:cs="Simplified Arabic"/>
          <w:sz w:val="24"/>
          <w:szCs w:val="24"/>
        </w:rPr>
        <w:t>باستعدادها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للقيام</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بذلك</w:t>
      </w:r>
      <w:proofErr w:type="spellEnd"/>
      <w:r w:rsidRPr="00DE0F03">
        <w:rPr>
          <w:rFonts w:ascii="Simplified Arabic" w:hAnsi="Simplified Arabic" w:cs="Simplified Arabic"/>
          <w:sz w:val="24"/>
          <w:szCs w:val="24"/>
        </w:rPr>
        <w:t>؛</w:t>
      </w:r>
      <w:proofErr w:type="gramEnd"/>
    </w:p>
    <w:p w14:paraId="56DAD927"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t>يقرر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إنشاء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مصغر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بالوسائل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الإلكترونية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للاضطلاع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سبيل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الأولوية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وكمسألة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عاجلة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بمهمة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التحديث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وكذلك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4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w:t>
      </w:r>
      <w:bookmarkStart w:id="5" w:name="_Hlk106791207"/>
      <w:bookmarkEnd w:id="5"/>
      <w:proofErr w:type="gramEnd"/>
    </w:p>
    <w:p w14:paraId="24C99851"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t>يدعو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المراقبة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ترشيح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خبراء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للمشاركة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المصغر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إبلاغ</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بأسماء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مرشحيها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بحلول</w:t>
      </w:r>
      <w:proofErr w:type="spellEnd"/>
      <w:r w:rsidRPr="00DE0F03">
        <w:rPr>
          <w:rFonts w:ascii="Simplified Arabic" w:hAnsi="Simplified Arabic" w:cs="Simplified Arabic"/>
          <w:sz w:val="24"/>
          <w:szCs w:val="24"/>
        </w:rPr>
        <w:t xml:space="preserve"> 31 </w:t>
      </w:r>
      <w:proofErr w:type="spellStart"/>
      <w:r w:rsidRPr="00DE0F03">
        <w:rPr>
          <w:rFonts w:ascii="Simplified Arabic" w:hAnsi="Simplified Arabic" w:cs="Simplified Arabic"/>
          <w:sz w:val="24"/>
          <w:szCs w:val="24"/>
        </w:rPr>
        <w:t>تموز</w:t>
      </w:r>
      <w:proofErr w:type="spellEnd"/>
      <w:r w:rsidRPr="00DE0F03">
        <w:rPr>
          <w:rFonts w:ascii="Simplified Arabic" w:hAnsi="Simplified Arabic" w:cs="Simplified Arabic"/>
          <w:sz w:val="24"/>
          <w:szCs w:val="24"/>
        </w:rPr>
        <w:t>/</w:t>
      </w:r>
      <w:proofErr w:type="spellStart"/>
      <w:r w:rsidRPr="00DE0F03">
        <w:rPr>
          <w:rFonts w:ascii="Simplified Arabic" w:hAnsi="Simplified Arabic" w:cs="Simplified Arabic"/>
          <w:sz w:val="24"/>
          <w:szCs w:val="24"/>
        </w:rPr>
        <w:t>يوليه</w:t>
      </w:r>
      <w:proofErr w:type="spellEnd"/>
      <w:r w:rsidRPr="00DE0F03">
        <w:rPr>
          <w:rFonts w:ascii="Simplified Arabic" w:hAnsi="Simplified Arabic" w:cs="Simplified Arabic"/>
          <w:sz w:val="24"/>
          <w:szCs w:val="24"/>
        </w:rPr>
        <w:t xml:space="preserve"> </w:t>
      </w:r>
      <w:proofErr w:type="gramStart"/>
      <w:r w:rsidRPr="00DE0F03">
        <w:rPr>
          <w:rFonts w:ascii="Simplified Arabic" w:hAnsi="Simplified Arabic" w:cs="Simplified Arabic"/>
          <w:sz w:val="24"/>
          <w:szCs w:val="24"/>
        </w:rPr>
        <w:t>2022؛</w:t>
      </w:r>
      <w:proofErr w:type="gramEnd"/>
    </w:p>
    <w:p w14:paraId="64E52B86"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t>يدعو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وأصحاب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المصلحة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الآخرين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مساهمات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مالية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وعينية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لدعم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الفقرتين</w:t>
      </w:r>
      <w:proofErr w:type="spellEnd"/>
      <w:r w:rsidRPr="00DE0F03">
        <w:rPr>
          <w:rFonts w:ascii="Simplified Arabic" w:hAnsi="Simplified Arabic" w:cs="Simplified Arabic"/>
          <w:sz w:val="24"/>
          <w:szCs w:val="24"/>
        </w:rPr>
        <w:t xml:space="preserve"> 2 و4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w:t>
      </w:r>
      <w:proofErr w:type="gramEnd"/>
    </w:p>
    <w:p w14:paraId="46C39430"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t>يطلب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الرائد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الرائدة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بتوافر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وبالتشاور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المصغر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المستكملة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بالتحديث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hint="cs"/>
          <w:sz w:val="24"/>
          <w:szCs w:val="24"/>
        </w:rPr>
        <w:t> </w:t>
      </w:r>
      <w:r w:rsidRPr="00DE0F03">
        <w:rPr>
          <w:rFonts w:ascii="Simplified Arabic" w:hAnsi="Simplified Arabic" w:cs="Simplified Arabic"/>
          <w:sz w:val="24"/>
          <w:szCs w:val="24"/>
        </w:rPr>
        <w:t xml:space="preserve">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لكي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المفتوح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العضوية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الثالث</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roofErr w:type="gramEnd"/>
    </w:p>
    <w:p w14:paraId="5818CD7A"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i/>
          <w:iCs/>
          <w:sz w:val="24"/>
          <w:szCs w:val="24"/>
        </w:rPr>
        <w:lastRenderedPageBreak/>
        <w:t>يطلب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الرائد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الرائدة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حالة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وجود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بلد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رائد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رائدة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بتوافر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وبالتشاور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المصغر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إعداد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مشروع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4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لينظر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roofErr w:type="gramEnd"/>
    </w:p>
    <w:p w14:paraId="4A8FAB91" w14:textId="77777777" w:rsidR="00226B6C" w:rsidRPr="00DE0F03" w:rsidRDefault="00226B6C" w:rsidP="00226B6C">
      <w:pPr>
        <w:pStyle w:val="Normal-pool"/>
        <w:numPr>
          <w:ilvl w:val="0"/>
          <w:numId w:val="19"/>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يطلب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تقريراً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المفتوح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العضوية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الثالث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
    <w:p w14:paraId="16638634" w14:textId="70D54126" w:rsidR="00F935A6" w:rsidRPr="00226B6C" w:rsidRDefault="00F935A6" w:rsidP="00226B6C">
      <w:pPr>
        <w:pStyle w:val="Normal-pool"/>
      </w:pPr>
    </w:p>
    <w:sectPr w:rsidR="00F935A6" w:rsidRPr="00226B6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8A119" w14:textId="77777777" w:rsidR="00273DCE" w:rsidRDefault="00273DCE" w:rsidP="009F75FF">
      <w:r>
        <w:separator/>
      </w:r>
    </w:p>
  </w:endnote>
  <w:endnote w:type="continuationSeparator" w:id="0">
    <w:p w14:paraId="2ACDBC95" w14:textId="77777777" w:rsidR="00273DCE" w:rsidRDefault="00273DCE"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B6D75" w14:textId="77777777" w:rsidR="00273DCE" w:rsidRDefault="00273DCE" w:rsidP="009F75FF">
      <w:r>
        <w:separator/>
      </w:r>
    </w:p>
  </w:footnote>
  <w:footnote w:type="continuationSeparator" w:id="0">
    <w:p w14:paraId="5F46487E" w14:textId="77777777" w:rsidR="00273DCE" w:rsidRDefault="00273DCE" w:rsidP="009F75FF">
      <w:r>
        <w:continuationSeparator/>
      </w:r>
    </w:p>
  </w:footnote>
  <w:footnote w:id="1">
    <w:p w14:paraId="4CF63B1F" w14:textId="77777777" w:rsidR="00226B6C" w:rsidRPr="00A32BDD" w:rsidRDefault="00226B6C" w:rsidP="00226B6C">
      <w:pPr>
        <w:pStyle w:val="FootnoteText"/>
        <w:spacing w:after="40" w:line="280" w:lineRule="exact"/>
        <w:ind w:left="1134"/>
        <w:jc w:val="both"/>
        <w:rPr>
          <w:rFonts w:ascii="Simplified Arabic" w:hAnsi="Simplified Arabic"/>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17351B">
        <w:rPr>
          <w:sz w:val="18"/>
          <w:szCs w:val="18"/>
        </w:rPr>
        <w:t>UNEP/CHW.6/22</w:t>
      </w:r>
      <w:r w:rsidRPr="00A32BDD">
        <w:rPr>
          <w:rFonts w:ascii="Simplified Arabic" w:hAnsi="Simplified Arabic" w:hint="cs"/>
          <w:rtl/>
        </w:rPr>
        <w:t>، المرفق.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672EEF"/>
    <w:multiLevelType w:val="hybridMultilevel"/>
    <w:tmpl w:val="C1E2A108"/>
    <w:lvl w:ilvl="0" w:tplc="3F364A5C">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BE83D67"/>
    <w:multiLevelType w:val="hybridMultilevel"/>
    <w:tmpl w:val="C7246CF6"/>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8"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9"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936364"/>
    <w:multiLevelType w:val="hybridMultilevel"/>
    <w:tmpl w:val="FD16F504"/>
    <w:lvl w:ilvl="0" w:tplc="4EBC12D0">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3" w15:restartNumberingAfterBreak="0">
    <w:nsid w:val="6F304558"/>
    <w:multiLevelType w:val="hybridMultilevel"/>
    <w:tmpl w:val="A7B8D11C"/>
    <w:lvl w:ilvl="0" w:tplc="E8B88EFA">
      <w:start w:val="1"/>
      <w:numFmt w:val="decimal"/>
      <w:lvlText w:val="%1-"/>
      <w:lvlJc w:val="left"/>
      <w:pPr>
        <w:ind w:left="2381" w:hanging="51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4"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5"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6"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8"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num w:numId="1" w16cid:durableId="1337347912">
    <w:abstractNumId w:val="8"/>
  </w:num>
  <w:num w:numId="2" w16cid:durableId="1400636790">
    <w:abstractNumId w:val="4"/>
  </w:num>
  <w:num w:numId="3" w16cid:durableId="915284139">
    <w:abstractNumId w:val="9"/>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10"/>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18"/>
  </w:num>
  <w:num w:numId="7" w16cid:durableId="502823058">
    <w:abstractNumId w:val="2"/>
  </w:num>
  <w:num w:numId="8" w16cid:durableId="1579246298">
    <w:abstractNumId w:val="1"/>
  </w:num>
  <w:num w:numId="9" w16cid:durableId="478890557">
    <w:abstractNumId w:val="15"/>
  </w:num>
  <w:num w:numId="10" w16cid:durableId="1312324699">
    <w:abstractNumId w:val="17"/>
  </w:num>
  <w:num w:numId="11" w16cid:durableId="1970554629">
    <w:abstractNumId w:val="5"/>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12"/>
  </w:num>
  <w:num w:numId="13" w16cid:durableId="1903322055">
    <w:abstractNumId w:val="16"/>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14"/>
  </w:num>
  <w:num w:numId="15" w16cid:durableId="834880194">
    <w:abstractNumId w:val="3"/>
  </w:num>
  <w:num w:numId="16" w16cid:durableId="23750687">
    <w:abstractNumId w:val="11"/>
    <w:lvlOverride w:ilvl="0">
      <w:lvl w:ilvl="0" w:tplc="4EBC12D0">
        <w:start w:val="1"/>
        <w:numFmt w:val="decimal"/>
        <w:lvlText w:val="%1-"/>
        <w:lvlJc w:val="left"/>
        <w:pPr>
          <w:ind w:left="1967" w:hanging="360"/>
        </w:pPr>
        <w:rPr>
          <w:rFonts w:ascii="Times New Roman" w:eastAsia="Times New Roman" w:hAnsi="Times New Roman" w:cs="Simplified Arabic"/>
          <w:i w:val="0"/>
        </w:rPr>
      </w:lvl>
    </w:lvlOverride>
  </w:num>
  <w:num w:numId="17" w16cid:durableId="519510852">
    <w:abstractNumId w:val="7"/>
  </w:num>
  <w:num w:numId="18" w16cid:durableId="1668435544">
    <w:abstractNumId w:val="6"/>
    <w:lvlOverride w:ilvl="0">
      <w:lvl w:ilvl="0" w:tplc="3F364A5C">
        <w:start w:val="1"/>
        <w:numFmt w:val="decimal"/>
        <w:lvlText w:val="%1-"/>
        <w:lvlJc w:val="left"/>
        <w:pPr>
          <w:ind w:left="1967" w:hanging="360"/>
        </w:pPr>
        <w:rPr>
          <w:rFonts w:ascii="Simplified Arabic" w:eastAsia="Arial" w:hAnsi="Simplified Arabic" w:cs="Simplified Arabic"/>
          <w:i w:val="0"/>
        </w:rPr>
      </w:lvl>
    </w:lvlOverride>
  </w:num>
  <w:num w:numId="19" w16cid:durableId="15705730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226B6C"/>
    <w:rsid w:val="00265A88"/>
    <w:rsid w:val="00273DCE"/>
    <w:rsid w:val="00286115"/>
    <w:rsid w:val="00742414"/>
    <w:rsid w:val="007469E9"/>
    <w:rsid w:val="00836B73"/>
    <w:rsid w:val="00976B44"/>
    <w:rsid w:val="009F75FF"/>
    <w:rsid w:val="00C52BEE"/>
    <w:rsid w:val="00C84536"/>
    <w:rsid w:val="00DE16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375</Words>
  <Characters>2138</Characters>
  <Application>Microsoft Office Word</Application>
  <DocSecurity>0</DocSecurity>
  <Lines>17</Lines>
  <Paragraphs>5</Paragraphs>
  <ScaleCrop>false</ScaleCrop>
  <Company/>
  <LinksUpToDate>false</LinksUpToDate>
  <CharactersWithSpaces>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2023-04-27T09:39:00Z</dcterms:created>
  <dcterms:modified xsi:type="dcterms:W3CDTF">2023-04-27T09:39:00Z</dcterms:modified>
</cp:coreProperties>
</file>