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7FF105" w14:textId="77777777" w:rsidR="000403DB" w:rsidRPr="00866584" w:rsidRDefault="000403DB" w:rsidP="000403DB">
      <w:pPr>
        <w:pStyle w:val="CH1"/>
        <w:tabs>
          <w:tab w:val="left" w:pos="1814"/>
          <w:tab w:val="left" w:pos="2381"/>
          <w:tab w:val="left" w:pos="2948"/>
          <w:tab w:val="left" w:pos="3515"/>
          <w:tab w:val="left" w:pos="4082"/>
        </w:tabs>
        <w:ind w:right="136"/>
        <w:rPr>
          <w:rFonts w:eastAsia="SimHei"/>
          <w:bCs/>
          <w:sz w:val="32"/>
          <w:szCs w:val="32"/>
          <w:lang w:val="zh-CN" w:eastAsia="zh-CN"/>
        </w:rPr>
      </w:pPr>
      <w:bookmarkStart w:id="0" w:name="_Hlk106790788"/>
      <w:r w:rsidRPr="00866584">
        <w:rPr>
          <w:rFonts w:eastAsia="SimHei"/>
          <w:bCs/>
          <w:sz w:val="32"/>
          <w:szCs w:val="32"/>
          <w:lang w:val="zh-CN" w:eastAsia="zh-CN"/>
        </w:rPr>
        <w:tab/>
      </w:r>
      <w:r w:rsidRPr="00866584">
        <w:rPr>
          <w:rFonts w:eastAsia="SimHei"/>
          <w:bCs/>
          <w:sz w:val="32"/>
          <w:szCs w:val="32"/>
          <w:lang w:val="zh-CN" w:eastAsia="zh-CN"/>
        </w:rPr>
        <w:tab/>
        <w:t>BC-15/11</w:t>
      </w:r>
      <w:r w:rsidRPr="00866584">
        <w:rPr>
          <w:rFonts w:eastAsia="SimHei"/>
          <w:bCs/>
          <w:sz w:val="32"/>
          <w:szCs w:val="32"/>
          <w:lang w:val="zh-CN" w:eastAsia="zh-CN"/>
        </w:rPr>
        <w:t>：关于废铅酸电池和其他废旧电池无害环境管理的技术准则</w:t>
      </w:r>
      <w:bookmarkStart w:id="1" w:name="_Hlk106790759"/>
      <w:bookmarkEnd w:id="1"/>
    </w:p>
    <w:bookmarkEnd w:id="0"/>
    <w:p w14:paraId="7A4E20E2" w14:textId="77777777" w:rsidR="000403DB" w:rsidRPr="00866584" w:rsidRDefault="000403DB" w:rsidP="000403DB">
      <w:pPr>
        <w:pStyle w:val="Normal-pool"/>
        <w:tabs>
          <w:tab w:val="clear" w:pos="1247"/>
          <w:tab w:val="clear" w:pos="1814"/>
        </w:tabs>
        <w:spacing w:after="120"/>
        <w:ind w:left="1247" w:firstLine="624"/>
        <w:jc w:val="both"/>
        <w:rPr>
          <w:rFonts w:ascii="KaiTi" w:eastAsia="KaiTi" w:hAnsi="KaiTi"/>
          <w:i/>
          <w:iCs/>
          <w:sz w:val="24"/>
          <w:szCs w:val="24"/>
          <w:lang w:eastAsia="zh-CN"/>
        </w:rPr>
      </w:pPr>
      <w:r w:rsidRPr="00866584">
        <w:rPr>
          <w:rFonts w:ascii="KaiTi" w:eastAsia="KaiTi" w:hAnsi="KaiTi"/>
          <w:sz w:val="24"/>
          <w:szCs w:val="24"/>
          <w:lang w:val="zh-CN" w:eastAsia="zh-CN"/>
        </w:rPr>
        <w:t>缔约方大会，</w:t>
      </w:r>
    </w:p>
    <w:p w14:paraId="225076AA" w14:textId="77777777" w:rsidR="000403DB" w:rsidRPr="002A632F" w:rsidRDefault="000403DB" w:rsidP="000403DB">
      <w:pPr>
        <w:pStyle w:val="Normal-pool"/>
        <w:tabs>
          <w:tab w:val="clear" w:pos="1247"/>
          <w:tab w:val="clear" w:pos="1814"/>
        </w:tabs>
        <w:spacing w:after="120"/>
        <w:ind w:left="1247" w:firstLine="624"/>
        <w:jc w:val="both"/>
        <w:rPr>
          <w:rFonts w:eastAsia="SimSun"/>
          <w:sz w:val="24"/>
          <w:szCs w:val="24"/>
          <w:lang w:eastAsia="zh-CN"/>
        </w:rPr>
      </w:pPr>
      <w:r w:rsidRPr="005144D7">
        <w:rPr>
          <w:rFonts w:ascii="KaiTi" w:eastAsia="KaiTi" w:hAnsi="KaiTi"/>
          <w:sz w:val="24"/>
          <w:szCs w:val="24"/>
          <w:lang w:val="zh-CN" w:eastAsia="zh-CN"/>
        </w:rPr>
        <w:t>审议了</w:t>
      </w:r>
      <w:r w:rsidRPr="002A632F">
        <w:rPr>
          <w:rFonts w:eastAsia="SimSun"/>
          <w:sz w:val="24"/>
          <w:szCs w:val="24"/>
          <w:lang w:val="zh-CN" w:eastAsia="zh-CN"/>
        </w:rPr>
        <w:t>联合国环境大会在关于消除接触含铅涂料和促进废铅酸电池无害环境管理的第</w:t>
      </w:r>
      <w:r w:rsidRPr="002A632F">
        <w:rPr>
          <w:rFonts w:eastAsia="SimSun"/>
          <w:sz w:val="24"/>
          <w:szCs w:val="24"/>
          <w:lang w:val="zh-CN" w:eastAsia="zh-CN"/>
        </w:rPr>
        <w:t>3/9</w:t>
      </w:r>
      <w:r w:rsidRPr="002A632F">
        <w:rPr>
          <w:rFonts w:eastAsia="SimSun"/>
          <w:sz w:val="24"/>
          <w:szCs w:val="24"/>
          <w:lang w:val="zh-CN" w:eastAsia="zh-CN"/>
        </w:rPr>
        <w:t>号决议中发出的邀请，即考虑修订废铅酸电池无害环境管理技术准则关于在无害环境管理系统不同方面应用新技术的内容，</w:t>
      </w:r>
    </w:p>
    <w:p w14:paraId="03E51547" w14:textId="77777777" w:rsidR="000403DB" w:rsidRPr="002A632F" w:rsidRDefault="000403DB" w:rsidP="000403DB">
      <w:pPr>
        <w:pStyle w:val="Normal-pool"/>
        <w:tabs>
          <w:tab w:val="clear" w:pos="1247"/>
          <w:tab w:val="clear" w:pos="1814"/>
        </w:tabs>
        <w:spacing w:after="120"/>
        <w:ind w:left="1247" w:firstLine="624"/>
        <w:jc w:val="both"/>
        <w:rPr>
          <w:rFonts w:eastAsia="SimSun"/>
          <w:sz w:val="24"/>
          <w:szCs w:val="24"/>
          <w:lang w:eastAsia="zh-CN"/>
        </w:rPr>
      </w:pPr>
      <w:r w:rsidRPr="002A632F">
        <w:rPr>
          <w:rFonts w:eastAsia="SimSun"/>
          <w:sz w:val="24"/>
          <w:szCs w:val="24"/>
          <w:lang w:val="zh-CN" w:eastAsia="zh-CN"/>
        </w:rPr>
        <w:t>1.</w:t>
      </w:r>
      <w:r w:rsidRPr="002A632F">
        <w:rPr>
          <w:rFonts w:eastAsia="SimSun"/>
          <w:sz w:val="24"/>
          <w:szCs w:val="24"/>
          <w:lang w:val="zh-CN" w:eastAsia="zh-CN"/>
        </w:rPr>
        <w:tab/>
      </w:r>
      <w:r w:rsidRPr="00866584">
        <w:rPr>
          <w:rFonts w:ascii="KaiTi" w:eastAsia="KaiTi" w:hAnsi="KaiTi"/>
          <w:sz w:val="24"/>
          <w:szCs w:val="24"/>
          <w:lang w:val="zh-CN" w:eastAsia="zh-CN"/>
        </w:rPr>
        <w:t>回顾</w:t>
      </w:r>
      <w:r w:rsidRPr="002A632F">
        <w:rPr>
          <w:rFonts w:eastAsia="SimSun"/>
          <w:sz w:val="24"/>
          <w:szCs w:val="24"/>
          <w:lang w:val="zh-CN" w:eastAsia="zh-CN"/>
        </w:rPr>
        <w:t>BC-VI/22</w:t>
      </w:r>
      <w:r w:rsidRPr="002A632F">
        <w:rPr>
          <w:rFonts w:eastAsia="SimSun"/>
          <w:sz w:val="24"/>
          <w:szCs w:val="24"/>
          <w:lang w:val="zh-CN" w:eastAsia="zh-CN"/>
        </w:rPr>
        <w:t>号决定，缔约方大会在其中通过了废铅酸电池无害环境管理技术准则；</w:t>
      </w:r>
      <w:r w:rsidRPr="002A632F">
        <w:rPr>
          <w:rFonts w:eastAsia="SimSun"/>
          <w:sz w:val="24"/>
          <w:szCs w:val="24"/>
          <w:vertAlign w:val="superscript"/>
          <w:lang w:val="zh-CN"/>
        </w:rPr>
        <w:footnoteReference w:id="1"/>
      </w:r>
    </w:p>
    <w:p w14:paraId="066DFD25" w14:textId="77777777" w:rsidR="000403DB" w:rsidRPr="002A632F" w:rsidRDefault="000403DB" w:rsidP="000403DB">
      <w:pPr>
        <w:pStyle w:val="Normal-pool"/>
        <w:tabs>
          <w:tab w:val="clear" w:pos="1247"/>
          <w:tab w:val="clear" w:pos="1814"/>
        </w:tabs>
        <w:spacing w:after="120"/>
        <w:ind w:left="1247" w:firstLine="624"/>
        <w:jc w:val="both"/>
        <w:rPr>
          <w:rFonts w:eastAsia="SimSun"/>
          <w:i/>
          <w:color w:val="000000"/>
          <w:sz w:val="24"/>
          <w:szCs w:val="24"/>
          <w:lang w:eastAsia="zh-CN"/>
        </w:rPr>
      </w:pPr>
      <w:r w:rsidRPr="002A632F">
        <w:rPr>
          <w:rFonts w:eastAsia="SimSun"/>
          <w:sz w:val="24"/>
          <w:szCs w:val="24"/>
          <w:lang w:val="zh-CN" w:eastAsia="zh-CN"/>
        </w:rPr>
        <w:t>2.</w:t>
      </w:r>
      <w:r w:rsidRPr="002A632F">
        <w:rPr>
          <w:rFonts w:eastAsia="SimSun"/>
          <w:sz w:val="24"/>
          <w:szCs w:val="24"/>
          <w:lang w:val="zh-CN" w:eastAsia="zh-CN"/>
        </w:rPr>
        <w:tab/>
      </w:r>
      <w:r w:rsidRPr="00866584">
        <w:rPr>
          <w:rFonts w:ascii="KaiTi" w:eastAsia="KaiTi" w:hAnsi="KaiTi"/>
          <w:sz w:val="24"/>
          <w:szCs w:val="24"/>
          <w:lang w:val="zh-CN" w:eastAsia="zh-CN"/>
        </w:rPr>
        <w:t>决定</w:t>
      </w:r>
      <w:r w:rsidRPr="002A632F">
        <w:rPr>
          <w:rFonts w:eastAsia="SimSun"/>
          <w:sz w:val="24"/>
          <w:szCs w:val="24"/>
          <w:lang w:val="zh-CN" w:eastAsia="zh-CN"/>
        </w:rPr>
        <w:t>应增订关于废铅酸电池无害环境管理的技术准则。</w:t>
      </w:r>
      <w:bookmarkStart w:id="3" w:name="_Hlk106790869"/>
      <w:bookmarkEnd w:id="3"/>
    </w:p>
    <w:p w14:paraId="44951855" w14:textId="77777777" w:rsidR="000403DB" w:rsidRPr="002A632F" w:rsidRDefault="000403DB" w:rsidP="000403DB">
      <w:pPr>
        <w:pStyle w:val="Normal-pool"/>
        <w:tabs>
          <w:tab w:val="clear" w:pos="1247"/>
          <w:tab w:val="clear" w:pos="1814"/>
        </w:tabs>
        <w:spacing w:after="120"/>
        <w:ind w:left="1247" w:firstLine="624"/>
        <w:jc w:val="both"/>
        <w:rPr>
          <w:rFonts w:eastAsia="SimSun"/>
          <w:i/>
          <w:color w:val="000000"/>
          <w:sz w:val="24"/>
          <w:szCs w:val="24"/>
          <w:lang w:eastAsia="zh-CN"/>
        </w:rPr>
      </w:pPr>
      <w:r w:rsidRPr="002A632F">
        <w:rPr>
          <w:rFonts w:eastAsia="SimSun"/>
          <w:sz w:val="24"/>
          <w:szCs w:val="24"/>
          <w:lang w:val="zh-CN" w:eastAsia="zh-CN"/>
        </w:rPr>
        <w:t>3.</w:t>
      </w:r>
      <w:r w:rsidRPr="002A632F">
        <w:rPr>
          <w:rFonts w:eastAsia="SimSun"/>
          <w:sz w:val="24"/>
          <w:szCs w:val="24"/>
          <w:lang w:val="zh-CN" w:eastAsia="zh-CN"/>
        </w:rPr>
        <w:tab/>
      </w:r>
      <w:r w:rsidRPr="00866584">
        <w:rPr>
          <w:rFonts w:ascii="KaiTi" w:eastAsia="KaiTi" w:hAnsi="KaiTi"/>
          <w:sz w:val="24"/>
          <w:szCs w:val="24"/>
          <w:lang w:val="zh-CN" w:eastAsia="zh-CN"/>
        </w:rPr>
        <w:t>赞赏地欢迎</w:t>
      </w:r>
      <w:r w:rsidRPr="002A632F">
        <w:rPr>
          <w:rFonts w:eastAsia="SimSun"/>
          <w:sz w:val="24"/>
          <w:szCs w:val="24"/>
          <w:lang w:val="zh-CN" w:eastAsia="zh-CN"/>
        </w:rPr>
        <w:t>乌拉圭主动提出担任本决定第</w:t>
      </w:r>
      <w:r w:rsidRPr="002A632F">
        <w:rPr>
          <w:rFonts w:eastAsia="SimSun"/>
          <w:sz w:val="24"/>
          <w:szCs w:val="24"/>
          <w:lang w:val="zh-CN" w:eastAsia="zh-CN"/>
        </w:rPr>
        <w:t>2</w:t>
      </w:r>
      <w:r w:rsidRPr="002A632F">
        <w:rPr>
          <w:rFonts w:eastAsia="SimSun"/>
          <w:sz w:val="24"/>
          <w:szCs w:val="24"/>
          <w:lang w:val="zh-CN" w:eastAsia="zh-CN"/>
        </w:rPr>
        <w:t>段所述技术准则增订工作的牵头国，并邀请其他缔约方考虑担任共同牵头国，并于</w:t>
      </w:r>
      <w:r w:rsidRPr="002A632F">
        <w:rPr>
          <w:rFonts w:eastAsia="SimSun"/>
          <w:sz w:val="24"/>
          <w:szCs w:val="24"/>
          <w:lang w:val="zh-CN" w:eastAsia="zh-CN"/>
        </w:rPr>
        <w:t>2022</w:t>
      </w:r>
      <w:r w:rsidRPr="002A632F">
        <w:rPr>
          <w:rFonts w:eastAsia="SimSun"/>
          <w:sz w:val="24"/>
          <w:szCs w:val="24"/>
          <w:lang w:val="zh-CN" w:eastAsia="zh-CN"/>
        </w:rPr>
        <w:t>年</w:t>
      </w:r>
      <w:r w:rsidRPr="002A632F">
        <w:rPr>
          <w:rFonts w:eastAsia="SimSun"/>
          <w:sz w:val="24"/>
          <w:szCs w:val="24"/>
          <w:lang w:val="zh-CN" w:eastAsia="zh-CN"/>
        </w:rPr>
        <w:t>7</w:t>
      </w:r>
      <w:r w:rsidRPr="002A632F">
        <w:rPr>
          <w:rFonts w:eastAsia="SimSun"/>
          <w:sz w:val="24"/>
          <w:szCs w:val="24"/>
          <w:lang w:val="zh-CN" w:eastAsia="zh-CN"/>
        </w:rPr>
        <w:t>月</w:t>
      </w:r>
      <w:r w:rsidRPr="002A632F">
        <w:rPr>
          <w:rFonts w:eastAsia="SimSun"/>
          <w:sz w:val="24"/>
          <w:szCs w:val="24"/>
          <w:lang w:val="zh-CN" w:eastAsia="zh-CN"/>
        </w:rPr>
        <w:t>31</w:t>
      </w:r>
      <w:r w:rsidRPr="002A632F">
        <w:rPr>
          <w:rFonts w:eastAsia="SimSun"/>
          <w:sz w:val="24"/>
          <w:szCs w:val="24"/>
          <w:lang w:val="zh-CN" w:eastAsia="zh-CN"/>
        </w:rPr>
        <w:t>日前将这方面的意愿告知秘书处；</w:t>
      </w:r>
    </w:p>
    <w:p w14:paraId="26D34EF2" w14:textId="77777777" w:rsidR="000403DB" w:rsidRPr="002A632F" w:rsidRDefault="000403DB" w:rsidP="000403DB">
      <w:pPr>
        <w:pStyle w:val="Normal-pool"/>
        <w:tabs>
          <w:tab w:val="clear" w:pos="1247"/>
          <w:tab w:val="clear" w:pos="1814"/>
        </w:tabs>
        <w:spacing w:after="120"/>
        <w:ind w:left="1247" w:firstLine="624"/>
        <w:jc w:val="both"/>
        <w:rPr>
          <w:rFonts w:eastAsia="SimSun"/>
          <w:i/>
          <w:color w:val="000000"/>
          <w:sz w:val="24"/>
          <w:szCs w:val="24"/>
          <w:lang w:eastAsia="zh-CN"/>
        </w:rPr>
      </w:pPr>
      <w:r w:rsidRPr="002A632F">
        <w:rPr>
          <w:rFonts w:eastAsia="SimSun"/>
          <w:sz w:val="24"/>
          <w:szCs w:val="24"/>
          <w:lang w:val="zh-CN" w:eastAsia="zh-CN"/>
        </w:rPr>
        <w:t>4.</w:t>
      </w:r>
      <w:r w:rsidRPr="002A632F">
        <w:rPr>
          <w:rFonts w:eastAsia="SimSun"/>
          <w:sz w:val="24"/>
          <w:szCs w:val="24"/>
          <w:lang w:val="zh-CN" w:eastAsia="zh-CN"/>
        </w:rPr>
        <w:tab/>
      </w:r>
      <w:r w:rsidRPr="00866584">
        <w:rPr>
          <w:rFonts w:ascii="KaiTi" w:eastAsia="KaiTi" w:hAnsi="KaiTi"/>
          <w:sz w:val="24"/>
          <w:szCs w:val="24"/>
          <w:lang w:val="zh-CN" w:eastAsia="zh-CN"/>
        </w:rPr>
        <w:t>决定</w:t>
      </w:r>
      <w:proofErr w:type="gramStart"/>
      <w:r w:rsidRPr="002A632F">
        <w:rPr>
          <w:rFonts w:eastAsia="SimSun"/>
          <w:sz w:val="24"/>
          <w:szCs w:val="24"/>
          <w:lang w:val="zh-CN" w:eastAsia="zh-CN"/>
        </w:rPr>
        <w:t>应制定除废铅酸</w:t>
      </w:r>
      <w:proofErr w:type="gramEnd"/>
      <w:r w:rsidRPr="002A632F">
        <w:rPr>
          <w:rFonts w:eastAsia="SimSun"/>
          <w:sz w:val="24"/>
          <w:szCs w:val="24"/>
          <w:lang w:val="zh-CN" w:eastAsia="zh-CN"/>
        </w:rPr>
        <w:t>电池以外其他废旧电池的无害环境管理技术准则；</w:t>
      </w:r>
      <w:bookmarkStart w:id="4" w:name="_Hlk106791256"/>
      <w:bookmarkStart w:id="5" w:name="_Hlk106791072"/>
      <w:bookmarkEnd w:id="4"/>
      <w:bookmarkEnd w:id="5"/>
    </w:p>
    <w:p w14:paraId="13885A21" w14:textId="77777777" w:rsidR="000403DB" w:rsidRPr="002A632F" w:rsidRDefault="000403DB" w:rsidP="000403DB">
      <w:pPr>
        <w:pStyle w:val="Normal-pool"/>
        <w:tabs>
          <w:tab w:val="clear" w:pos="1247"/>
          <w:tab w:val="clear" w:pos="1814"/>
        </w:tabs>
        <w:spacing w:after="120"/>
        <w:ind w:left="1247" w:firstLine="624"/>
        <w:jc w:val="both"/>
        <w:rPr>
          <w:rFonts w:eastAsia="SimSun"/>
          <w:color w:val="000000"/>
          <w:sz w:val="24"/>
          <w:szCs w:val="24"/>
          <w:lang w:eastAsia="zh-CN"/>
        </w:rPr>
      </w:pPr>
      <w:r w:rsidRPr="002A632F">
        <w:rPr>
          <w:rFonts w:eastAsia="SimSun"/>
          <w:sz w:val="24"/>
          <w:szCs w:val="24"/>
          <w:lang w:val="zh-CN" w:eastAsia="zh-CN"/>
        </w:rPr>
        <w:t>5.</w:t>
      </w:r>
      <w:r w:rsidRPr="002A632F">
        <w:rPr>
          <w:rFonts w:eastAsia="SimSun"/>
          <w:sz w:val="24"/>
          <w:szCs w:val="24"/>
          <w:lang w:val="zh-CN" w:eastAsia="zh-CN"/>
        </w:rPr>
        <w:tab/>
      </w:r>
      <w:r w:rsidRPr="00866584">
        <w:rPr>
          <w:rFonts w:ascii="KaiTi" w:eastAsia="KaiTi" w:hAnsi="KaiTi"/>
          <w:sz w:val="24"/>
          <w:szCs w:val="24"/>
          <w:lang w:val="zh-CN" w:eastAsia="zh-CN"/>
        </w:rPr>
        <w:t>邀请</w:t>
      </w:r>
      <w:r w:rsidRPr="002A632F">
        <w:rPr>
          <w:rFonts w:eastAsia="SimSun"/>
          <w:sz w:val="24"/>
          <w:szCs w:val="24"/>
          <w:lang w:val="zh-CN" w:eastAsia="zh-CN"/>
        </w:rPr>
        <w:t>缔约方考虑担任制定本决定第</w:t>
      </w:r>
      <w:r w:rsidRPr="002A632F">
        <w:rPr>
          <w:rFonts w:eastAsia="SimSun"/>
          <w:sz w:val="24"/>
          <w:szCs w:val="24"/>
          <w:lang w:val="zh-CN" w:eastAsia="zh-CN"/>
        </w:rPr>
        <w:t>4</w:t>
      </w:r>
      <w:r w:rsidRPr="002A632F">
        <w:rPr>
          <w:rFonts w:eastAsia="SimSun"/>
          <w:sz w:val="24"/>
          <w:szCs w:val="24"/>
          <w:lang w:val="zh-CN" w:eastAsia="zh-CN"/>
        </w:rPr>
        <w:t>段所述技术准则的牵头国，并于</w:t>
      </w:r>
      <w:r w:rsidRPr="002A632F">
        <w:rPr>
          <w:rFonts w:eastAsia="SimSun"/>
          <w:sz w:val="24"/>
          <w:szCs w:val="24"/>
          <w:lang w:val="zh-CN" w:eastAsia="zh-CN"/>
        </w:rPr>
        <w:t>2022</w:t>
      </w:r>
      <w:r w:rsidRPr="002A632F">
        <w:rPr>
          <w:rFonts w:eastAsia="SimSun"/>
          <w:sz w:val="24"/>
          <w:szCs w:val="24"/>
          <w:lang w:val="zh-CN" w:eastAsia="zh-CN"/>
        </w:rPr>
        <w:t>年</w:t>
      </w:r>
      <w:r w:rsidRPr="002A632F">
        <w:rPr>
          <w:rFonts w:eastAsia="SimSun"/>
          <w:sz w:val="24"/>
          <w:szCs w:val="24"/>
          <w:lang w:val="zh-CN" w:eastAsia="zh-CN"/>
        </w:rPr>
        <w:t>7</w:t>
      </w:r>
      <w:r w:rsidRPr="002A632F">
        <w:rPr>
          <w:rFonts w:eastAsia="SimSun"/>
          <w:sz w:val="24"/>
          <w:szCs w:val="24"/>
          <w:lang w:val="zh-CN" w:eastAsia="zh-CN"/>
        </w:rPr>
        <w:t>月</w:t>
      </w:r>
      <w:r w:rsidRPr="002A632F">
        <w:rPr>
          <w:rFonts w:eastAsia="SimSun"/>
          <w:sz w:val="24"/>
          <w:szCs w:val="24"/>
          <w:lang w:val="zh-CN" w:eastAsia="zh-CN"/>
        </w:rPr>
        <w:t>31</w:t>
      </w:r>
      <w:r w:rsidRPr="002A632F">
        <w:rPr>
          <w:rFonts w:eastAsia="SimSun"/>
          <w:sz w:val="24"/>
          <w:szCs w:val="24"/>
          <w:lang w:val="zh-CN" w:eastAsia="zh-CN"/>
        </w:rPr>
        <w:t>日前将这方面的意愿告知秘书处；</w:t>
      </w:r>
    </w:p>
    <w:p w14:paraId="70F67103" w14:textId="77777777" w:rsidR="000403DB" w:rsidRPr="002A632F" w:rsidRDefault="000403DB" w:rsidP="000403DB">
      <w:pPr>
        <w:pStyle w:val="Normal-pool"/>
        <w:tabs>
          <w:tab w:val="clear" w:pos="1247"/>
          <w:tab w:val="clear" w:pos="1814"/>
        </w:tabs>
        <w:spacing w:after="120"/>
        <w:ind w:left="1247" w:firstLine="624"/>
        <w:jc w:val="both"/>
        <w:rPr>
          <w:rFonts w:eastAsia="SimSun"/>
          <w:i/>
          <w:color w:val="000000"/>
          <w:sz w:val="24"/>
          <w:szCs w:val="24"/>
          <w:lang w:eastAsia="zh-CN"/>
        </w:rPr>
      </w:pPr>
      <w:r w:rsidRPr="002A632F">
        <w:rPr>
          <w:rFonts w:eastAsia="SimSun"/>
          <w:sz w:val="24"/>
          <w:szCs w:val="24"/>
          <w:lang w:val="zh-CN" w:eastAsia="zh-CN"/>
        </w:rPr>
        <w:t>6.</w:t>
      </w:r>
      <w:r w:rsidRPr="002A632F">
        <w:rPr>
          <w:rFonts w:eastAsia="SimSun"/>
          <w:sz w:val="24"/>
          <w:szCs w:val="24"/>
          <w:lang w:val="zh-CN" w:eastAsia="zh-CN"/>
        </w:rPr>
        <w:tab/>
      </w:r>
      <w:r w:rsidRPr="00866584">
        <w:rPr>
          <w:rFonts w:ascii="KaiTi" w:eastAsia="KaiTi" w:hAnsi="KaiTi"/>
          <w:sz w:val="24"/>
          <w:szCs w:val="24"/>
          <w:lang w:val="zh-CN" w:eastAsia="zh-CN"/>
        </w:rPr>
        <w:t>决定</w:t>
      </w:r>
      <w:r w:rsidRPr="002A632F">
        <w:rPr>
          <w:rFonts w:eastAsia="SimSun"/>
          <w:sz w:val="24"/>
          <w:szCs w:val="24"/>
          <w:lang w:val="zh-CN" w:eastAsia="zh-CN"/>
        </w:rPr>
        <w:t>设立一个以电子方式运作的小型闭会期间工作组，作为紧急事项，优先开展本决定第</w:t>
      </w:r>
      <w:r w:rsidRPr="002A632F">
        <w:rPr>
          <w:rFonts w:eastAsia="SimSun"/>
          <w:sz w:val="24"/>
          <w:szCs w:val="24"/>
          <w:lang w:val="zh-CN" w:eastAsia="zh-CN"/>
        </w:rPr>
        <w:t>2</w:t>
      </w:r>
      <w:r w:rsidRPr="002A632F">
        <w:rPr>
          <w:rFonts w:eastAsia="SimSun"/>
          <w:sz w:val="24"/>
          <w:szCs w:val="24"/>
          <w:lang w:val="zh-CN" w:eastAsia="zh-CN"/>
        </w:rPr>
        <w:t>段所述的增订工作，并制定本决定第</w:t>
      </w:r>
      <w:r w:rsidRPr="002A632F">
        <w:rPr>
          <w:rFonts w:eastAsia="SimSun"/>
          <w:sz w:val="24"/>
          <w:szCs w:val="24"/>
          <w:lang w:val="zh-CN" w:eastAsia="zh-CN"/>
        </w:rPr>
        <w:t>4</w:t>
      </w:r>
      <w:r w:rsidRPr="002A632F">
        <w:rPr>
          <w:rFonts w:eastAsia="SimSun"/>
          <w:sz w:val="24"/>
          <w:szCs w:val="24"/>
          <w:lang w:val="zh-CN" w:eastAsia="zh-CN"/>
        </w:rPr>
        <w:t>段所述的准则；</w:t>
      </w:r>
      <w:bookmarkStart w:id="6" w:name="_Hlk106791207"/>
      <w:bookmarkEnd w:id="6"/>
    </w:p>
    <w:p w14:paraId="395A75CE" w14:textId="77777777" w:rsidR="000403DB" w:rsidRPr="002A632F" w:rsidRDefault="000403DB" w:rsidP="000403DB">
      <w:pPr>
        <w:pStyle w:val="Normal-pool"/>
        <w:tabs>
          <w:tab w:val="clear" w:pos="1247"/>
          <w:tab w:val="clear" w:pos="1814"/>
        </w:tabs>
        <w:spacing w:after="120"/>
        <w:ind w:left="1247" w:firstLine="624"/>
        <w:jc w:val="both"/>
        <w:rPr>
          <w:rFonts w:eastAsia="SimSun"/>
          <w:color w:val="000000"/>
          <w:sz w:val="24"/>
          <w:szCs w:val="24"/>
          <w:lang w:eastAsia="zh-CN"/>
        </w:rPr>
      </w:pPr>
      <w:r w:rsidRPr="002A632F">
        <w:rPr>
          <w:rFonts w:eastAsia="SimSun"/>
          <w:sz w:val="24"/>
          <w:szCs w:val="24"/>
          <w:lang w:val="zh-CN" w:eastAsia="zh-CN"/>
        </w:rPr>
        <w:t>7.</w:t>
      </w:r>
      <w:r w:rsidRPr="002A632F">
        <w:rPr>
          <w:rFonts w:eastAsia="SimSun"/>
          <w:sz w:val="24"/>
          <w:szCs w:val="24"/>
          <w:lang w:val="zh-CN" w:eastAsia="zh-CN"/>
        </w:rPr>
        <w:tab/>
      </w:r>
      <w:r w:rsidRPr="00866584">
        <w:rPr>
          <w:rFonts w:ascii="KaiTi" w:eastAsia="KaiTi" w:hAnsi="KaiTi"/>
          <w:sz w:val="24"/>
          <w:szCs w:val="24"/>
          <w:lang w:val="zh-CN" w:eastAsia="zh-CN"/>
        </w:rPr>
        <w:t>邀请</w:t>
      </w:r>
      <w:r w:rsidRPr="002A632F">
        <w:rPr>
          <w:rFonts w:eastAsia="SimSun"/>
          <w:sz w:val="24"/>
          <w:szCs w:val="24"/>
          <w:lang w:val="zh-CN" w:eastAsia="zh-CN"/>
        </w:rPr>
        <w:t>缔约方和观察员提名参加小型闭会期间工作组的专家，并在</w:t>
      </w:r>
      <w:r w:rsidRPr="002A632F">
        <w:rPr>
          <w:rFonts w:eastAsia="SimSun"/>
          <w:sz w:val="24"/>
          <w:szCs w:val="24"/>
          <w:lang w:val="zh-CN" w:eastAsia="zh-CN"/>
        </w:rPr>
        <w:t>2022</w:t>
      </w:r>
      <w:r w:rsidRPr="002A632F">
        <w:rPr>
          <w:rFonts w:eastAsia="SimSun"/>
          <w:sz w:val="24"/>
          <w:szCs w:val="24"/>
          <w:lang w:val="zh-CN" w:eastAsia="zh-CN"/>
        </w:rPr>
        <w:t>年</w:t>
      </w:r>
      <w:r w:rsidRPr="002A632F">
        <w:rPr>
          <w:rFonts w:eastAsia="SimSun"/>
          <w:sz w:val="24"/>
          <w:szCs w:val="24"/>
          <w:lang w:val="zh-CN" w:eastAsia="zh-CN"/>
        </w:rPr>
        <w:t>7</w:t>
      </w:r>
      <w:r w:rsidRPr="002A632F">
        <w:rPr>
          <w:rFonts w:eastAsia="SimSun"/>
          <w:sz w:val="24"/>
          <w:szCs w:val="24"/>
          <w:lang w:val="zh-CN" w:eastAsia="zh-CN"/>
        </w:rPr>
        <w:t>月</w:t>
      </w:r>
      <w:r w:rsidRPr="002A632F">
        <w:rPr>
          <w:rFonts w:eastAsia="SimSun"/>
          <w:sz w:val="24"/>
          <w:szCs w:val="24"/>
          <w:lang w:val="zh-CN" w:eastAsia="zh-CN"/>
        </w:rPr>
        <w:t>31</w:t>
      </w:r>
      <w:r w:rsidRPr="002A632F">
        <w:rPr>
          <w:rFonts w:eastAsia="SimSun"/>
          <w:sz w:val="24"/>
          <w:szCs w:val="24"/>
          <w:lang w:val="zh-CN" w:eastAsia="zh-CN"/>
        </w:rPr>
        <w:t>日前将提名告知秘书处；</w:t>
      </w:r>
    </w:p>
    <w:p w14:paraId="5E662119" w14:textId="77777777" w:rsidR="000403DB" w:rsidRPr="002A632F" w:rsidRDefault="000403DB" w:rsidP="000403DB">
      <w:pPr>
        <w:pStyle w:val="Normal-pool"/>
        <w:tabs>
          <w:tab w:val="clear" w:pos="1247"/>
          <w:tab w:val="clear" w:pos="1814"/>
        </w:tabs>
        <w:spacing w:after="120"/>
        <w:ind w:left="1247" w:firstLine="624"/>
        <w:jc w:val="both"/>
        <w:rPr>
          <w:rFonts w:eastAsia="SimSun"/>
          <w:color w:val="000000"/>
          <w:sz w:val="24"/>
          <w:szCs w:val="24"/>
          <w:lang w:eastAsia="zh-CN"/>
        </w:rPr>
      </w:pPr>
      <w:r w:rsidRPr="002A632F">
        <w:rPr>
          <w:rFonts w:eastAsia="SimSun"/>
          <w:sz w:val="24"/>
          <w:szCs w:val="24"/>
          <w:lang w:val="zh-CN" w:eastAsia="zh-CN"/>
        </w:rPr>
        <w:t>8.</w:t>
      </w:r>
      <w:r w:rsidRPr="002A632F">
        <w:rPr>
          <w:rFonts w:eastAsia="SimSun"/>
          <w:sz w:val="24"/>
          <w:szCs w:val="24"/>
          <w:lang w:val="zh-CN" w:eastAsia="zh-CN"/>
        </w:rPr>
        <w:tab/>
      </w:r>
      <w:r w:rsidRPr="00866584">
        <w:rPr>
          <w:rFonts w:ascii="KaiTi" w:eastAsia="KaiTi" w:hAnsi="KaiTi"/>
          <w:sz w:val="24"/>
          <w:szCs w:val="24"/>
          <w:lang w:val="zh-CN" w:eastAsia="zh-CN"/>
        </w:rPr>
        <w:t>邀请</w:t>
      </w:r>
      <w:r w:rsidRPr="002A632F">
        <w:rPr>
          <w:rFonts w:eastAsia="SimSun"/>
          <w:sz w:val="24"/>
          <w:szCs w:val="24"/>
          <w:lang w:val="zh-CN" w:eastAsia="zh-CN"/>
        </w:rPr>
        <w:t>缔约方和其他利益攸关方提供资金和实物捐助，以支持本决定第</w:t>
      </w:r>
      <w:r w:rsidRPr="002A632F">
        <w:rPr>
          <w:rFonts w:eastAsia="SimSun"/>
          <w:sz w:val="24"/>
          <w:szCs w:val="24"/>
          <w:lang w:val="zh-CN" w:eastAsia="zh-CN"/>
        </w:rPr>
        <w:t>2</w:t>
      </w:r>
      <w:r w:rsidRPr="002A632F">
        <w:rPr>
          <w:rFonts w:eastAsia="SimSun"/>
          <w:sz w:val="24"/>
          <w:szCs w:val="24"/>
          <w:lang w:val="zh-CN" w:eastAsia="zh-CN"/>
        </w:rPr>
        <w:t>和第</w:t>
      </w:r>
      <w:r w:rsidRPr="002A632F">
        <w:rPr>
          <w:rFonts w:eastAsia="SimSun"/>
          <w:sz w:val="24"/>
          <w:szCs w:val="24"/>
          <w:lang w:val="zh-CN" w:eastAsia="zh-CN"/>
        </w:rPr>
        <w:t>4</w:t>
      </w:r>
      <w:r w:rsidRPr="002A632F">
        <w:rPr>
          <w:rFonts w:eastAsia="SimSun"/>
          <w:sz w:val="24"/>
          <w:szCs w:val="24"/>
          <w:lang w:val="zh-CN" w:eastAsia="zh-CN"/>
        </w:rPr>
        <w:t>段所述活动；</w:t>
      </w:r>
    </w:p>
    <w:p w14:paraId="0F109DF1" w14:textId="77777777" w:rsidR="000403DB" w:rsidRPr="00153031" w:rsidRDefault="000403DB" w:rsidP="000403DB">
      <w:pPr>
        <w:pStyle w:val="Normal-pool"/>
        <w:tabs>
          <w:tab w:val="clear" w:pos="1247"/>
          <w:tab w:val="clear" w:pos="1814"/>
        </w:tabs>
        <w:spacing w:after="120"/>
        <w:ind w:left="1247" w:firstLine="624"/>
        <w:jc w:val="both"/>
        <w:rPr>
          <w:rFonts w:eastAsia="SimSun"/>
          <w:color w:val="000000"/>
          <w:sz w:val="24"/>
          <w:szCs w:val="24"/>
          <w:lang w:eastAsia="zh-CN"/>
        </w:rPr>
      </w:pPr>
      <w:r w:rsidRPr="002A632F">
        <w:rPr>
          <w:rFonts w:eastAsia="SimSun"/>
          <w:sz w:val="24"/>
          <w:szCs w:val="24"/>
          <w:lang w:val="zh-CN" w:eastAsia="zh-CN"/>
        </w:rPr>
        <w:t>9.</w:t>
      </w:r>
      <w:r w:rsidRPr="002A632F">
        <w:rPr>
          <w:rFonts w:eastAsia="SimSun"/>
          <w:sz w:val="24"/>
          <w:szCs w:val="24"/>
          <w:lang w:val="zh-CN" w:eastAsia="zh-CN"/>
        </w:rPr>
        <w:tab/>
      </w:r>
      <w:r w:rsidRPr="00866584">
        <w:rPr>
          <w:rFonts w:ascii="KaiTi" w:eastAsia="KaiTi" w:hAnsi="KaiTi"/>
          <w:sz w:val="24"/>
          <w:szCs w:val="24"/>
          <w:lang w:val="zh-CN" w:eastAsia="zh-CN"/>
        </w:rPr>
        <w:t>请</w:t>
      </w:r>
      <w:r w:rsidRPr="002A632F">
        <w:rPr>
          <w:rFonts w:eastAsia="SimSun"/>
          <w:sz w:val="24"/>
          <w:szCs w:val="24"/>
          <w:lang w:val="zh-CN" w:eastAsia="zh-CN"/>
        </w:rPr>
        <w:t>牵头国家在秘书处的协助下并在资源允许的情况下，与小型闭会期间工作组协商，编写本决定第</w:t>
      </w:r>
      <w:r w:rsidRPr="002A632F">
        <w:rPr>
          <w:rFonts w:eastAsia="SimSun"/>
          <w:sz w:val="24"/>
          <w:szCs w:val="24"/>
          <w:lang w:val="zh-CN" w:eastAsia="zh-CN"/>
        </w:rPr>
        <w:t>2</w:t>
      </w:r>
      <w:r w:rsidRPr="002A632F">
        <w:rPr>
          <w:rFonts w:eastAsia="SimSun"/>
          <w:sz w:val="24"/>
          <w:szCs w:val="24"/>
          <w:lang w:val="zh-CN" w:eastAsia="zh-CN"/>
        </w:rPr>
        <w:t>段提及的增订技术准则，供不限成员名额工作组第十三次会议审议；</w:t>
      </w:r>
    </w:p>
    <w:p w14:paraId="0B87E292" w14:textId="77777777" w:rsidR="000403DB" w:rsidRPr="002A632F" w:rsidRDefault="000403DB" w:rsidP="000403DB">
      <w:pPr>
        <w:pStyle w:val="Normal-pool"/>
        <w:tabs>
          <w:tab w:val="clear" w:pos="1247"/>
          <w:tab w:val="clear" w:pos="1814"/>
        </w:tabs>
        <w:spacing w:after="120"/>
        <w:ind w:left="1247" w:firstLine="624"/>
        <w:jc w:val="both"/>
        <w:rPr>
          <w:rFonts w:eastAsia="SimSun"/>
          <w:color w:val="000000"/>
          <w:sz w:val="24"/>
          <w:szCs w:val="24"/>
          <w:lang w:eastAsia="zh-CN"/>
        </w:rPr>
      </w:pPr>
      <w:r w:rsidRPr="002A632F">
        <w:rPr>
          <w:rFonts w:eastAsia="SimSun"/>
          <w:sz w:val="24"/>
          <w:szCs w:val="24"/>
          <w:lang w:val="zh-CN" w:eastAsia="zh-CN"/>
        </w:rPr>
        <w:t>10.</w:t>
      </w:r>
      <w:r w:rsidRPr="002A632F">
        <w:rPr>
          <w:rFonts w:eastAsia="SimSun"/>
          <w:sz w:val="24"/>
          <w:szCs w:val="24"/>
          <w:lang w:val="zh-CN" w:eastAsia="zh-CN"/>
        </w:rPr>
        <w:tab/>
      </w:r>
      <w:r w:rsidRPr="00866584">
        <w:rPr>
          <w:rFonts w:ascii="KaiTi" w:eastAsia="KaiTi" w:hAnsi="KaiTi"/>
          <w:sz w:val="24"/>
          <w:szCs w:val="24"/>
          <w:lang w:val="zh-CN" w:eastAsia="zh-CN"/>
        </w:rPr>
        <w:t>请</w:t>
      </w:r>
      <w:r w:rsidRPr="002A632F">
        <w:rPr>
          <w:rFonts w:eastAsia="SimSun"/>
          <w:sz w:val="24"/>
          <w:szCs w:val="24"/>
          <w:lang w:val="zh-CN" w:eastAsia="zh-CN"/>
        </w:rPr>
        <w:t>牵头国、若无</w:t>
      </w:r>
      <w:proofErr w:type="gramStart"/>
      <w:r w:rsidRPr="002A632F">
        <w:rPr>
          <w:rFonts w:eastAsia="SimSun"/>
          <w:sz w:val="24"/>
          <w:szCs w:val="24"/>
          <w:lang w:val="zh-CN" w:eastAsia="zh-CN"/>
        </w:rPr>
        <w:t>牵头国</w:t>
      </w:r>
      <w:proofErr w:type="gramEnd"/>
      <w:r w:rsidRPr="002A632F">
        <w:rPr>
          <w:rFonts w:eastAsia="SimSun"/>
          <w:sz w:val="24"/>
          <w:szCs w:val="24"/>
          <w:lang w:val="zh-CN" w:eastAsia="zh-CN"/>
        </w:rPr>
        <w:t>则请秘书处在</w:t>
      </w:r>
      <w:r>
        <w:rPr>
          <w:rFonts w:eastAsia="SimSun" w:hint="eastAsia"/>
          <w:sz w:val="24"/>
          <w:szCs w:val="24"/>
          <w:lang w:val="zh-CN" w:eastAsia="zh-CN"/>
        </w:rPr>
        <w:t>资源允许的情况下</w:t>
      </w:r>
      <w:r w:rsidRPr="002A632F">
        <w:rPr>
          <w:rFonts w:eastAsia="SimSun"/>
          <w:sz w:val="24"/>
          <w:szCs w:val="24"/>
          <w:lang w:val="zh-CN" w:eastAsia="zh-CN"/>
        </w:rPr>
        <w:t>，与小型闭会期间工作组协商，编写本决定第</w:t>
      </w:r>
      <w:r w:rsidRPr="002A632F">
        <w:rPr>
          <w:rFonts w:eastAsia="SimSun"/>
          <w:sz w:val="24"/>
          <w:szCs w:val="24"/>
          <w:lang w:val="zh-CN" w:eastAsia="zh-CN"/>
        </w:rPr>
        <w:t>4</w:t>
      </w:r>
      <w:r w:rsidRPr="002A632F">
        <w:rPr>
          <w:rFonts w:eastAsia="SimSun"/>
          <w:sz w:val="24"/>
          <w:szCs w:val="24"/>
          <w:lang w:val="zh-CN" w:eastAsia="zh-CN"/>
        </w:rPr>
        <w:t>段所述的技术准则草案，供缔约方大会第十六次会议审议；</w:t>
      </w:r>
    </w:p>
    <w:p w14:paraId="770BC178" w14:textId="77777777" w:rsidR="000403DB" w:rsidRPr="002A632F" w:rsidRDefault="000403DB" w:rsidP="000403DB">
      <w:pPr>
        <w:pStyle w:val="Normal-pool"/>
        <w:tabs>
          <w:tab w:val="clear" w:pos="1247"/>
          <w:tab w:val="clear" w:pos="1814"/>
        </w:tabs>
        <w:spacing w:after="120"/>
        <w:ind w:left="1247" w:firstLine="624"/>
        <w:jc w:val="both"/>
        <w:rPr>
          <w:rFonts w:eastAsia="SimSun"/>
          <w:iCs/>
          <w:sz w:val="24"/>
          <w:szCs w:val="24"/>
          <w:lang w:eastAsia="zh-CN"/>
        </w:rPr>
      </w:pPr>
      <w:r w:rsidRPr="002A632F">
        <w:rPr>
          <w:rFonts w:eastAsia="SimSun"/>
          <w:sz w:val="24"/>
          <w:szCs w:val="24"/>
          <w:lang w:val="zh-CN" w:eastAsia="zh-CN"/>
        </w:rPr>
        <w:t>11.</w:t>
      </w:r>
      <w:r w:rsidRPr="002A632F">
        <w:rPr>
          <w:rFonts w:eastAsia="SimSun"/>
          <w:sz w:val="24"/>
          <w:szCs w:val="24"/>
          <w:lang w:val="zh-CN" w:eastAsia="zh-CN"/>
        </w:rPr>
        <w:tab/>
      </w:r>
      <w:r w:rsidRPr="00866584">
        <w:rPr>
          <w:rFonts w:ascii="KaiTi" w:eastAsia="KaiTi" w:hAnsi="KaiTi"/>
          <w:sz w:val="24"/>
          <w:szCs w:val="24"/>
          <w:lang w:val="zh-CN" w:eastAsia="zh-CN"/>
        </w:rPr>
        <w:t>请</w:t>
      </w:r>
      <w:r w:rsidRPr="002A632F">
        <w:rPr>
          <w:rFonts w:eastAsia="SimSun"/>
          <w:sz w:val="24"/>
          <w:szCs w:val="24"/>
          <w:lang w:val="zh-CN" w:eastAsia="zh-CN"/>
        </w:rPr>
        <w:t>秘书处向不限成员名额工作组第十三次会议和缔约方大会第十六次会议报告本决定的执行情况。</w:t>
      </w:r>
    </w:p>
    <w:p w14:paraId="53A24FD6" w14:textId="770D3C9D" w:rsidR="00F935A6" w:rsidRPr="000403DB" w:rsidRDefault="00F935A6" w:rsidP="000403DB">
      <w:pPr>
        <w:pStyle w:val="Normal-pool"/>
        <w:jc w:val="both"/>
        <w:rPr>
          <w:rFonts w:eastAsia="SimSun"/>
          <w:sz w:val="24"/>
          <w:szCs w:val="24"/>
          <w:lang w:eastAsia="zh-CN"/>
        </w:rPr>
      </w:pPr>
    </w:p>
    <w:sectPr w:rsidR="00F935A6" w:rsidRPr="000403DB">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8F0A30" w14:textId="77777777" w:rsidR="00A20D90" w:rsidRDefault="00A20D90" w:rsidP="00FC11E6">
      <w:pPr>
        <w:spacing w:after="0" w:line="240" w:lineRule="auto"/>
      </w:pPr>
      <w:r>
        <w:separator/>
      </w:r>
    </w:p>
  </w:endnote>
  <w:endnote w:type="continuationSeparator" w:id="0">
    <w:p w14:paraId="0800167D" w14:textId="77777777" w:rsidR="00A20D90" w:rsidRDefault="00A20D90" w:rsidP="00FC11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imSun">
    <w:altName w:val="宋体"/>
    <w:panose1 w:val="02010600030101010101"/>
    <w:charset w:val="86"/>
    <w:family w:val="auto"/>
    <w:pitch w:val="variable"/>
    <w:sig w:usb0="00000003" w:usb1="288F0000" w:usb2="00000016" w:usb3="00000000" w:csb0="00040001" w:csb1="00000000"/>
  </w:font>
  <w:font w:name="SimHei">
    <w:altName w:val="黑体"/>
    <w:panose1 w:val="02010609060101010101"/>
    <w:charset w:val="86"/>
    <w:family w:val="modern"/>
    <w:pitch w:val="fixed"/>
    <w:sig w:usb0="800002BF" w:usb1="38CF7CFA" w:usb2="00000016" w:usb3="00000000" w:csb0="00040001" w:csb1="00000000"/>
  </w:font>
  <w:font w:name="KaiTi">
    <w:altName w:val="Microsoft YaHei"/>
    <w:panose1 w:val="02010609060101010101"/>
    <w:charset w:val="86"/>
    <w:family w:val="modern"/>
    <w:pitch w:val="fixed"/>
    <w:sig w:usb0="800002BF" w:usb1="38CF7CFA" w:usb2="00000016" w:usb3="00000000" w:csb0="00040001"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453A46" w14:textId="77777777" w:rsidR="00A20D90" w:rsidRDefault="00A20D90" w:rsidP="00FC11E6">
      <w:pPr>
        <w:spacing w:after="0" w:line="240" w:lineRule="auto"/>
      </w:pPr>
      <w:r>
        <w:separator/>
      </w:r>
    </w:p>
  </w:footnote>
  <w:footnote w:type="continuationSeparator" w:id="0">
    <w:p w14:paraId="5891D14D" w14:textId="77777777" w:rsidR="00A20D90" w:rsidRDefault="00A20D90" w:rsidP="00FC11E6">
      <w:pPr>
        <w:spacing w:after="0" w:line="240" w:lineRule="auto"/>
      </w:pPr>
      <w:r>
        <w:continuationSeparator/>
      </w:r>
    </w:p>
  </w:footnote>
  <w:footnote w:id="1">
    <w:p w14:paraId="31EAACEE" w14:textId="77777777" w:rsidR="000403DB" w:rsidRPr="003A0013" w:rsidRDefault="000403DB" w:rsidP="000403DB">
      <w:pPr>
        <w:pStyle w:val="Normal-pool"/>
        <w:spacing w:before="20" w:after="40"/>
        <w:ind w:left="1247"/>
      </w:pPr>
      <w:r w:rsidRPr="003A0013">
        <w:rPr>
          <w:vertAlign w:val="superscript"/>
          <w:lang w:val="zh-CN"/>
        </w:rPr>
        <w:footnoteRef/>
      </w:r>
      <w:r w:rsidRPr="003A0013">
        <w:t xml:space="preserve"> UNEP/CHW.6/22</w:t>
      </w:r>
      <w:r w:rsidRPr="003A0013">
        <w:t>，</w:t>
      </w:r>
      <w:r w:rsidRPr="003A0013">
        <w:rPr>
          <w:lang w:val="zh-CN"/>
        </w:rPr>
        <w:t>附件。</w:t>
      </w:r>
      <w:bookmarkStart w:id="2" w:name="_Hlk106791089"/>
      <w:bookmarkEnd w:id="2"/>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A0471A"/>
    <w:multiLevelType w:val="hybridMultilevel"/>
    <w:tmpl w:val="F4C4BFC8"/>
    <w:lvl w:ilvl="0" w:tplc="0B82E39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A7E40AB"/>
    <w:multiLevelType w:val="hybridMultilevel"/>
    <w:tmpl w:val="60287AF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4B758D2"/>
    <w:multiLevelType w:val="hybridMultilevel"/>
    <w:tmpl w:val="B156E61E"/>
    <w:lvl w:ilvl="0" w:tplc="9050C400">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1D6D191A"/>
    <w:multiLevelType w:val="hybridMultilevel"/>
    <w:tmpl w:val="B252704A"/>
    <w:lvl w:ilvl="0" w:tplc="2F426988">
      <w:start w:val="1"/>
      <w:numFmt w:val="lowerLetter"/>
      <w:lvlText w:val="(%1)"/>
      <w:lvlJc w:val="left"/>
      <w:pPr>
        <w:ind w:left="720" w:hanging="360"/>
      </w:pPr>
      <w:rPr>
        <w:rFonts w:hint="default"/>
        <w:i w:val="0"/>
        <w:i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AD6048D"/>
    <w:multiLevelType w:val="hybridMultilevel"/>
    <w:tmpl w:val="39EEDF64"/>
    <w:lvl w:ilvl="0" w:tplc="8C229E08">
      <w:start w:val="1"/>
      <w:numFmt w:val="decimal"/>
      <w:lvlText w:val="%1."/>
      <w:lvlJc w:val="left"/>
      <w:pPr>
        <w:ind w:left="720" w:hanging="360"/>
      </w:pPr>
      <w:rPr>
        <w:i w:val="0"/>
        <w:i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7672EEF"/>
    <w:multiLevelType w:val="hybridMultilevel"/>
    <w:tmpl w:val="CBAC362C"/>
    <w:lvl w:ilvl="0" w:tplc="FFFFFFFF">
      <w:start w:val="1"/>
      <w:numFmt w:val="decimal"/>
      <w:lvlText w:val="%1."/>
      <w:lvlJc w:val="left"/>
      <w:pPr>
        <w:ind w:left="1967" w:hanging="360"/>
      </w:pPr>
      <w:rPr>
        <w:rFonts w:hint="default"/>
        <w:i w:val="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401A6C39"/>
    <w:multiLevelType w:val="hybridMultilevel"/>
    <w:tmpl w:val="0778D7C0"/>
    <w:lvl w:ilvl="0" w:tplc="9260D008">
      <w:start w:val="1"/>
      <w:numFmt w:val="decimal"/>
      <w:lvlText w:val="%1."/>
      <w:lvlJc w:val="left"/>
      <w:pPr>
        <w:ind w:left="720" w:hanging="360"/>
      </w:pPr>
      <w:rPr>
        <w:i w:val="0"/>
        <w:i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4F6F1F46"/>
    <w:multiLevelType w:val="hybridMultilevel"/>
    <w:tmpl w:val="DA96568E"/>
    <w:lvl w:ilvl="0" w:tplc="0B82E39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50800CBF"/>
    <w:multiLevelType w:val="hybridMultilevel"/>
    <w:tmpl w:val="0778D7C0"/>
    <w:lvl w:ilvl="0" w:tplc="FFFFFFFF">
      <w:start w:val="1"/>
      <w:numFmt w:val="decimal"/>
      <w:lvlText w:val="%1."/>
      <w:lvlJc w:val="left"/>
      <w:pPr>
        <w:ind w:left="720" w:hanging="360"/>
      </w:pPr>
      <w:rPr>
        <w:i w:val="0"/>
        <w:i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511C554E"/>
    <w:multiLevelType w:val="hybridMultilevel"/>
    <w:tmpl w:val="F4C4BFC8"/>
    <w:lvl w:ilvl="0" w:tplc="FFFFFFFF">
      <w:start w:val="1"/>
      <w:numFmt w:val="lowerLetter"/>
      <w:lvlText w:val="(%1)"/>
      <w:lvlJc w:val="left"/>
      <w:pPr>
        <w:ind w:left="2174" w:hanging="360"/>
      </w:pPr>
      <w:rPr>
        <w:rFonts w:hint="default"/>
      </w:rPr>
    </w:lvl>
    <w:lvl w:ilvl="1" w:tplc="FFFFFFFF" w:tentative="1">
      <w:start w:val="1"/>
      <w:numFmt w:val="lowerLetter"/>
      <w:lvlText w:val="%2."/>
      <w:lvlJc w:val="left"/>
      <w:pPr>
        <w:ind w:left="2894" w:hanging="360"/>
      </w:pPr>
    </w:lvl>
    <w:lvl w:ilvl="2" w:tplc="FFFFFFFF" w:tentative="1">
      <w:start w:val="1"/>
      <w:numFmt w:val="lowerRoman"/>
      <w:lvlText w:val="%3."/>
      <w:lvlJc w:val="right"/>
      <w:pPr>
        <w:ind w:left="3614" w:hanging="180"/>
      </w:pPr>
    </w:lvl>
    <w:lvl w:ilvl="3" w:tplc="FFFFFFFF" w:tentative="1">
      <w:start w:val="1"/>
      <w:numFmt w:val="decimal"/>
      <w:lvlText w:val="%4."/>
      <w:lvlJc w:val="left"/>
      <w:pPr>
        <w:ind w:left="4334" w:hanging="360"/>
      </w:pPr>
    </w:lvl>
    <w:lvl w:ilvl="4" w:tplc="FFFFFFFF" w:tentative="1">
      <w:start w:val="1"/>
      <w:numFmt w:val="lowerLetter"/>
      <w:lvlText w:val="%5."/>
      <w:lvlJc w:val="left"/>
      <w:pPr>
        <w:ind w:left="5054" w:hanging="360"/>
      </w:pPr>
    </w:lvl>
    <w:lvl w:ilvl="5" w:tplc="FFFFFFFF" w:tentative="1">
      <w:start w:val="1"/>
      <w:numFmt w:val="lowerRoman"/>
      <w:lvlText w:val="%6."/>
      <w:lvlJc w:val="right"/>
      <w:pPr>
        <w:ind w:left="5774" w:hanging="180"/>
      </w:pPr>
    </w:lvl>
    <w:lvl w:ilvl="6" w:tplc="FFFFFFFF" w:tentative="1">
      <w:start w:val="1"/>
      <w:numFmt w:val="decimal"/>
      <w:lvlText w:val="%7."/>
      <w:lvlJc w:val="left"/>
      <w:pPr>
        <w:ind w:left="6494" w:hanging="360"/>
      </w:pPr>
    </w:lvl>
    <w:lvl w:ilvl="7" w:tplc="FFFFFFFF" w:tentative="1">
      <w:start w:val="1"/>
      <w:numFmt w:val="lowerLetter"/>
      <w:lvlText w:val="%8."/>
      <w:lvlJc w:val="left"/>
      <w:pPr>
        <w:ind w:left="7214" w:hanging="360"/>
      </w:pPr>
    </w:lvl>
    <w:lvl w:ilvl="8" w:tplc="FFFFFFFF" w:tentative="1">
      <w:start w:val="1"/>
      <w:numFmt w:val="lowerRoman"/>
      <w:lvlText w:val="%9."/>
      <w:lvlJc w:val="right"/>
      <w:pPr>
        <w:ind w:left="7934" w:hanging="180"/>
      </w:pPr>
    </w:lvl>
  </w:abstractNum>
  <w:abstractNum w:abstractNumId="10" w15:restartNumberingAfterBreak="0">
    <w:nsid w:val="54FA404E"/>
    <w:multiLevelType w:val="hybridMultilevel"/>
    <w:tmpl w:val="6C66F0D0"/>
    <w:lvl w:ilvl="0" w:tplc="0B82E39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5A0F4908"/>
    <w:multiLevelType w:val="hybridMultilevel"/>
    <w:tmpl w:val="202C98D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5FA22318"/>
    <w:multiLevelType w:val="hybridMultilevel"/>
    <w:tmpl w:val="34A06CA0"/>
    <w:lvl w:ilvl="0" w:tplc="0B82E394">
      <w:start w:val="1"/>
      <w:numFmt w:val="lowerLetter"/>
      <w:lvlText w:val="(%1)"/>
      <w:lvlJc w:val="left"/>
      <w:pPr>
        <w:ind w:left="2231" w:hanging="360"/>
      </w:pPr>
      <w:rPr>
        <w:rFonts w:hint="default"/>
      </w:rPr>
    </w:lvl>
    <w:lvl w:ilvl="1" w:tplc="08090019" w:tentative="1">
      <w:start w:val="1"/>
      <w:numFmt w:val="lowerLetter"/>
      <w:lvlText w:val="%2."/>
      <w:lvlJc w:val="left"/>
      <w:pPr>
        <w:ind w:left="2951" w:hanging="360"/>
      </w:pPr>
    </w:lvl>
    <w:lvl w:ilvl="2" w:tplc="0809001B" w:tentative="1">
      <w:start w:val="1"/>
      <w:numFmt w:val="lowerRoman"/>
      <w:lvlText w:val="%3."/>
      <w:lvlJc w:val="right"/>
      <w:pPr>
        <w:ind w:left="3671" w:hanging="180"/>
      </w:pPr>
    </w:lvl>
    <w:lvl w:ilvl="3" w:tplc="0809000F" w:tentative="1">
      <w:start w:val="1"/>
      <w:numFmt w:val="decimal"/>
      <w:lvlText w:val="%4."/>
      <w:lvlJc w:val="left"/>
      <w:pPr>
        <w:ind w:left="4391" w:hanging="360"/>
      </w:pPr>
    </w:lvl>
    <w:lvl w:ilvl="4" w:tplc="08090019" w:tentative="1">
      <w:start w:val="1"/>
      <w:numFmt w:val="lowerLetter"/>
      <w:lvlText w:val="%5."/>
      <w:lvlJc w:val="left"/>
      <w:pPr>
        <w:ind w:left="5111" w:hanging="360"/>
      </w:pPr>
    </w:lvl>
    <w:lvl w:ilvl="5" w:tplc="0809001B" w:tentative="1">
      <w:start w:val="1"/>
      <w:numFmt w:val="lowerRoman"/>
      <w:lvlText w:val="%6."/>
      <w:lvlJc w:val="right"/>
      <w:pPr>
        <w:ind w:left="5831" w:hanging="180"/>
      </w:pPr>
    </w:lvl>
    <w:lvl w:ilvl="6" w:tplc="0809000F" w:tentative="1">
      <w:start w:val="1"/>
      <w:numFmt w:val="decimal"/>
      <w:lvlText w:val="%7."/>
      <w:lvlJc w:val="left"/>
      <w:pPr>
        <w:ind w:left="6551" w:hanging="360"/>
      </w:pPr>
    </w:lvl>
    <w:lvl w:ilvl="7" w:tplc="08090019" w:tentative="1">
      <w:start w:val="1"/>
      <w:numFmt w:val="lowerLetter"/>
      <w:lvlText w:val="%8."/>
      <w:lvlJc w:val="left"/>
      <w:pPr>
        <w:ind w:left="7271" w:hanging="360"/>
      </w:pPr>
    </w:lvl>
    <w:lvl w:ilvl="8" w:tplc="0809001B" w:tentative="1">
      <w:start w:val="1"/>
      <w:numFmt w:val="lowerRoman"/>
      <w:lvlText w:val="%9."/>
      <w:lvlJc w:val="right"/>
      <w:pPr>
        <w:ind w:left="7991" w:hanging="180"/>
      </w:pPr>
    </w:lvl>
  </w:abstractNum>
  <w:abstractNum w:abstractNumId="13" w15:restartNumberingAfterBreak="0">
    <w:nsid w:val="6A936364"/>
    <w:multiLevelType w:val="hybridMultilevel"/>
    <w:tmpl w:val="CBAC362C"/>
    <w:lvl w:ilvl="0" w:tplc="2000000F">
      <w:start w:val="1"/>
      <w:numFmt w:val="decimal"/>
      <w:lvlText w:val="%1."/>
      <w:lvlJc w:val="left"/>
      <w:pPr>
        <w:ind w:left="1967"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F241682"/>
    <w:multiLevelType w:val="hybridMultilevel"/>
    <w:tmpl w:val="6FF20B76"/>
    <w:lvl w:ilvl="0" w:tplc="0B82E39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73165281"/>
    <w:multiLevelType w:val="hybridMultilevel"/>
    <w:tmpl w:val="60506876"/>
    <w:lvl w:ilvl="0" w:tplc="026427D6">
      <w:start w:val="1"/>
      <w:numFmt w:val="decimal"/>
      <w:lvlText w:val="%1."/>
      <w:lvlJc w:val="left"/>
      <w:pPr>
        <w:ind w:left="720" w:hanging="360"/>
      </w:pPr>
      <w:rPr>
        <w:i w:val="0"/>
        <w:i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75657F53"/>
    <w:multiLevelType w:val="hybridMultilevel"/>
    <w:tmpl w:val="EB1C4F3C"/>
    <w:lvl w:ilvl="0" w:tplc="0B82E39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771516194">
    <w:abstractNumId w:val="6"/>
    <w:lvlOverride w:ilvl="0">
      <w:lvl w:ilvl="0" w:tplc="9260D008">
        <w:start w:val="1"/>
        <w:numFmt w:val="decimal"/>
        <w:lvlText w:val="%1."/>
        <w:lvlJc w:val="left"/>
        <w:pPr>
          <w:ind w:left="720" w:hanging="360"/>
        </w:pPr>
        <w:rPr>
          <w:i w:val="0"/>
          <w:iCs/>
        </w:rPr>
      </w:lvl>
    </w:lvlOverride>
  </w:num>
  <w:num w:numId="2" w16cid:durableId="1342774805">
    <w:abstractNumId w:val="7"/>
    <w:lvlOverride w:ilvl="0">
      <w:lvl w:ilvl="0" w:tplc="0B82E394">
        <w:start w:val="1"/>
        <w:numFmt w:val="lowerLetter"/>
        <w:lvlText w:val="(%1)"/>
        <w:lvlJc w:val="left"/>
        <w:pPr>
          <w:ind w:left="720" w:hanging="360"/>
        </w:pPr>
        <w:rPr>
          <w:rFonts w:hint="default"/>
        </w:rPr>
      </w:lvl>
    </w:lvlOverride>
  </w:num>
  <w:num w:numId="3" w16cid:durableId="541482266">
    <w:abstractNumId w:val="8"/>
    <w:lvlOverride w:ilvl="0">
      <w:lvl w:ilvl="0" w:tplc="FFFFFFFF">
        <w:start w:val="1"/>
        <w:numFmt w:val="decimal"/>
        <w:lvlText w:val="%1."/>
        <w:lvlJc w:val="left"/>
        <w:pPr>
          <w:ind w:left="720" w:hanging="360"/>
        </w:pPr>
        <w:rPr>
          <w:i w:val="0"/>
          <w:iCs/>
        </w:rPr>
      </w:lvl>
    </w:lvlOverride>
  </w:num>
  <w:num w:numId="4" w16cid:durableId="76900579">
    <w:abstractNumId w:val="1"/>
    <w:lvlOverride w:ilvl="0">
      <w:lvl w:ilvl="0" w:tplc="0809000F">
        <w:start w:val="1"/>
        <w:numFmt w:val="decimal"/>
        <w:lvlText w:val="%1."/>
        <w:lvlJc w:val="left"/>
        <w:pPr>
          <w:ind w:left="720" w:hanging="360"/>
        </w:pPr>
      </w:lvl>
    </w:lvlOverride>
  </w:num>
  <w:num w:numId="5" w16cid:durableId="509682620">
    <w:abstractNumId w:val="11"/>
    <w:lvlOverride w:ilvl="0">
      <w:lvl w:ilvl="0" w:tplc="0809000F">
        <w:start w:val="1"/>
        <w:numFmt w:val="decimal"/>
        <w:lvlText w:val="%1."/>
        <w:lvlJc w:val="left"/>
        <w:pPr>
          <w:ind w:left="720" w:hanging="360"/>
        </w:pPr>
      </w:lvl>
    </w:lvlOverride>
  </w:num>
  <w:num w:numId="6" w16cid:durableId="1933778142">
    <w:abstractNumId w:val="14"/>
    <w:lvlOverride w:ilvl="0">
      <w:lvl w:ilvl="0" w:tplc="0B82E394">
        <w:start w:val="1"/>
        <w:numFmt w:val="lowerLetter"/>
        <w:lvlText w:val="(%1)"/>
        <w:lvlJc w:val="left"/>
        <w:pPr>
          <w:ind w:left="720" w:hanging="360"/>
        </w:pPr>
        <w:rPr>
          <w:rFonts w:hint="default"/>
        </w:rPr>
      </w:lvl>
    </w:lvlOverride>
  </w:num>
  <w:num w:numId="7" w16cid:durableId="562719092">
    <w:abstractNumId w:val="12"/>
    <w:lvlOverride w:ilvl="0">
      <w:lvl w:ilvl="0" w:tplc="0B82E394">
        <w:start w:val="1"/>
        <w:numFmt w:val="lowerLetter"/>
        <w:lvlText w:val="(%1)"/>
        <w:lvlJc w:val="left"/>
        <w:pPr>
          <w:ind w:left="2231" w:hanging="360"/>
        </w:pPr>
        <w:rPr>
          <w:rFonts w:hint="default"/>
        </w:rPr>
      </w:lvl>
    </w:lvlOverride>
  </w:num>
  <w:num w:numId="8" w16cid:durableId="541944942">
    <w:abstractNumId w:val="16"/>
    <w:lvlOverride w:ilvl="0">
      <w:lvl w:ilvl="0" w:tplc="0B82E394">
        <w:start w:val="1"/>
        <w:numFmt w:val="lowerLetter"/>
        <w:lvlText w:val="(%1)"/>
        <w:lvlJc w:val="left"/>
        <w:pPr>
          <w:ind w:left="720" w:hanging="360"/>
        </w:pPr>
        <w:rPr>
          <w:rFonts w:hint="default"/>
        </w:rPr>
      </w:lvl>
    </w:lvlOverride>
  </w:num>
  <w:num w:numId="9" w16cid:durableId="1093362229">
    <w:abstractNumId w:val="0"/>
    <w:lvlOverride w:ilvl="0">
      <w:lvl w:ilvl="0" w:tplc="0B82E394">
        <w:start w:val="1"/>
        <w:numFmt w:val="lowerLetter"/>
        <w:lvlText w:val="(%1)"/>
        <w:lvlJc w:val="left"/>
        <w:pPr>
          <w:ind w:left="720" w:hanging="360"/>
        </w:pPr>
        <w:rPr>
          <w:rFonts w:hint="default"/>
        </w:rPr>
      </w:lvl>
    </w:lvlOverride>
  </w:num>
  <w:num w:numId="10" w16cid:durableId="1112242020">
    <w:abstractNumId w:val="9"/>
    <w:lvlOverride w:ilvl="0">
      <w:lvl w:ilvl="0" w:tplc="FFFFFFFF">
        <w:start w:val="1"/>
        <w:numFmt w:val="lowerLetter"/>
        <w:lvlText w:val="(%1)"/>
        <w:lvlJc w:val="left"/>
        <w:pPr>
          <w:ind w:left="2174" w:hanging="360"/>
        </w:pPr>
        <w:rPr>
          <w:rFonts w:hint="default"/>
        </w:rPr>
      </w:lvl>
    </w:lvlOverride>
  </w:num>
  <w:num w:numId="11" w16cid:durableId="970476093">
    <w:abstractNumId w:val="4"/>
    <w:lvlOverride w:ilvl="0">
      <w:lvl w:ilvl="0" w:tplc="8C229E08">
        <w:start w:val="1"/>
        <w:numFmt w:val="decimal"/>
        <w:lvlText w:val="%1."/>
        <w:lvlJc w:val="left"/>
        <w:pPr>
          <w:ind w:left="720" w:hanging="360"/>
        </w:pPr>
        <w:rPr>
          <w:i w:val="0"/>
          <w:iCs w:val="0"/>
        </w:rPr>
      </w:lvl>
    </w:lvlOverride>
  </w:num>
  <w:num w:numId="12" w16cid:durableId="864173611">
    <w:abstractNumId w:val="2"/>
    <w:lvlOverride w:ilvl="0">
      <w:lvl w:ilvl="0" w:tplc="9050C400">
        <w:start w:val="1"/>
        <w:numFmt w:val="lowerLetter"/>
        <w:lvlText w:val="(%1)"/>
        <w:lvlJc w:val="left"/>
        <w:pPr>
          <w:ind w:left="720" w:hanging="360"/>
        </w:pPr>
        <w:rPr>
          <w:rFonts w:hint="default"/>
          <w:color w:val="auto"/>
        </w:rPr>
      </w:lvl>
    </w:lvlOverride>
  </w:num>
  <w:num w:numId="13" w16cid:durableId="1117602276">
    <w:abstractNumId w:val="15"/>
    <w:lvlOverride w:ilvl="0">
      <w:lvl w:ilvl="0" w:tplc="026427D6">
        <w:start w:val="1"/>
        <w:numFmt w:val="decimal"/>
        <w:lvlText w:val="%1."/>
        <w:lvlJc w:val="left"/>
        <w:pPr>
          <w:ind w:left="720" w:hanging="360"/>
        </w:pPr>
        <w:rPr>
          <w:i w:val="0"/>
          <w:iCs/>
        </w:rPr>
      </w:lvl>
    </w:lvlOverride>
  </w:num>
  <w:num w:numId="14" w16cid:durableId="2033724970">
    <w:abstractNumId w:val="10"/>
    <w:lvlOverride w:ilvl="0">
      <w:lvl w:ilvl="0" w:tplc="0B82E394">
        <w:start w:val="1"/>
        <w:numFmt w:val="lowerLetter"/>
        <w:lvlText w:val="(%1)"/>
        <w:lvlJc w:val="left"/>
        <w:pPr>
          <w:ind w:left="720" w:hanging="360"/>
        </w:pPr>
        <w:rPr>
          <w:rFonts w:hint="default"/>
        </w:rPr>
      </w:lvl>
    </w:lvlOverride>
  </w:num>
  <w:num w:numId="15" w16cid:durableId="864905716">
    <w:abstractNumId w:val="3"/>
    <w:lvlOverride w:ilvl="0">
      <w:lvl w:ilvl="0" w:tplc="2F426988">
        <w:start w:val="1"/>
        <w:numFmt w:val="lowerLetter"/>
        <w:lvlText w:val="(%1)"/>
        <w:lvlJc w:val="left"/>
        <w:pPr>
          <w:ind w:left="720" w:hanging="360"/>
        </w:pPr>
        <w:rPr>
          <w:rFonts w:hint="default"/>
          <w:i w:val="0"/>
          <w:iCs w:val="0"/>
        </w:rPr>
      </w:lvl>
    </w:lvlOverride>
  </w:num>
  <w:num w:numId="16" w16cid:durableId="839081623">
    <w:abstractNumId w:val="13"/>
    <w:lvlOverride w:ilvl="0">
      <w:lvl w:ilvl="0" w:tplc="2000000F">
        <w:start w:val="1"/>
        <w:numFmt w:val="decimal"/>
        <w:lvlText w:val="%1."/>
        <w:lvlJc w:val="left"/>
        <w:pPr>
          <w:ind w:left="1967" w:hanging="360"/>
        </w:pPr>
        <w:rPr>
          <w:rFonts w:hint="default"/>
          <w:i w:val="0"/>
        </w:rPr>
      </w:lvl>
    </w:lvlOverride>
  </w:num>
  <w:num w:numId="17" w16cid:durableId="1882666196">
    <w:abstractNumId w:val="5"/>
    <w:lvlOverride w:ilvl="0">
      <w:lvl w:ilvl="0" w:tplc="FFFFFFFF">
        <w:start w:val="1"/>
        <w:numFmt w:val="decimal"/>
        <w:lvlText w:val="%1."/>
        <w:lvlJc w:val="left"/>
        <w:pPr>
          <w:ind w:left="1967" w:hanging="360"/>
        </w:pPr>
        <w:rPr>
          <w:rFonts w:hint="default"/>
          <w:i w:val="0"/>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11E6"/>
    <w:rsid w:val="000403DB"/>
    <w:rsid w:val="00064220"/>
    <w:rsid w:val="00157C5A"/>
    <w:rsid w:val="002C0517"/>
    <w:rsid w:val="007A6A20"/>
    <w:rsid w:val="00836B73"/>
    <w:rsid w:val="009A214F"/>
    <w:rsid w:val="00A20D90"/>
    <w:rsid w:val="00C84536"/>
    <w:rsid w:val="00D857FB"/>
    <w:rsid w:val="00F636BC"/>
    <w:rsid w:val="00F935A6"/>
    <w:rsid w:val="00FA6F08"/>
    <w:rsid w:val="00FC11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E5F9A4"/>
  <w15:chartTrackingRefBased/>
  <w15:docId w15:val="{0078715D-665C-4BE1-9198-8263BB8604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636BC"/>
    <w:pPr>
      <w:spacing w:after="120" w:line="280" w:lineRule="exact"/>
      <w:jc w:val="both"/>
    </w:pPr>
    <w:rPr>
      <w:rFonts w:ascii="Times New Roman" w:eastAsiaTheme="minorHAnsi" w:hAnsi="Times New Roman" w:cs="Times New Roman"/>
      <w:sz w:val="21"/>
      <w:szCs w:val="1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1">
    <w:name w:val="CH1"/>
    <w:next w:val="CH2"/>
    <w:qFormat/>
    <w:rsid w:val="00FC11E6"/>
    <w:pPr>
      <w:keepNext/>
      <w:keepLines/>
      <w:tabs>
        <w:tab w:val="right" w:pos="851"/>
        <w:tab w:val="left" w:pos="1247"/>
      </w:tabs>
      <w:suppressAutoHyphens/>
      <w:spacing w:before="240" w:after="120" w:line="240" w:lineRule="auto"/>
      <w:ind w:left="1247" w:right="284" w:hanging="1247"/>
    </w:pPr>
    <w:rPr>
      <w:rFonts w:ascii="Times New Roman" w:eastAsiaTheme="minorHAnsi" w:hAnsi="Times New Roman" w:cs="Times New Roman"/>
      <w:b/>
      <w:sz w:val="28"/>
      <w:szCs w:val="28"/>
      <w:lang w:val="en-GB" w:eastAsia="en-GB"/>
    </w:rPr>
  </w:style>
  <w:style w:type="paragraph" w:customStyle="1" w:styleId="CH2">
    <w:name w:val="CH2"/>
    <w:next w:val="Normal"/>
    <w:link w:val="CH2Char"/>
    <w:qFormat/>
    <w:rsid w:val="00FC11E6"/>
    <w:pPr>
      <w:keepNext/>
      <w:keepLines/>
      <w:tabs>
        <w:tab w:val="right" w:pos="851"/>
        <w:tab w:val="left" w:pos="1247"/>
      </w:tabs>
      <w:suppressAutoHyphens/>
      <w:spacing w:before="240" w:after="120" w:line="240" w:lineRule="auto"/>
      <w:ind w:left="1247" w:right="284" w:hanging="1247"/>
    </w:pPr>
    <w:rPr>
      <w:rFonts w:ascii="Times New Roman" w:eastAsiaTheme="minorHAnsi" w:hAnsi="Times New Roman" w:cs="Times New Roman"/>
      <w:b/>
      <w:sz w:val="24"/>
      <w:szCs w:val="24"/>
      <w:lang w:val="en-GB" w:eastAsia="en-GB"/>
    </w:rPr>
  </w:style>
  <w:style w:type="character" w:styleId="Hyperlink">
    <w:name w:val="Hyperlink"/>
    <w:uiPriority w:val="99"/>
    <w:unhideWhenUsed/>
    <w:rsid w:val="00FC11E6"/>
    <w:rPr>
      <w:rFonts w:ascii="Times New Roman" w:hAnsi="Times New Roman"/>
      <w:color w:val="auto"/>
      <w:sz w:val="20"/>
      <w:szCs w:val="20"/>
      <w:u w:val="none"/>
      <w:lang w:val="en-US"/>
    </w:rPr>
  </w:style>
  <w:style w:type="character" w:styleId="FootnoteReference">
    <w:name w:val="footnote reference"/>
    <w:aliases w:val="16 Point,Superscript 6 Point,ftref,(Ref. de nota al pie),number,SUPERS,Footnote Reference Superscript,Footnote Reference1,Ref,de nota al pie,註腳內容,de nota al pie + (Asian) MS Mincho,11 pt,Ref. de nota de rodapé1,fr,stylish"/>
    <w:link w:val="BVIfnrCharCharCharChar"/>
    <w:semiHidden/>
    <w:qFormat/>
    <w:rsid w:val="00FC11E6"/>
    <w:rPr>
      <w:rFonts w:ascii="Times New Roman" w:eastAsia="SimSun" w:hAnsi="Times New Roman"/>
      <w:color w:val="000000"/>
      <w:spacing w:val="-5"/>
      <w:w w:val="130"/>
      <w:position w:val="-4"/>
      <w:szCs w:val="18"/>
      <w:vertAlign w:val="superscript"/>
    </w:rPr>
  </w:style>
  <w:style w:type="paragraph" w:customStyle="1" w:styleId="Normal-pool">
    <w:name w:val="Normal-pool"/>
    <w:link w:val="Normal-poolChar"/>
    <w:qFormat/>
    <w:rsid w:val="00FC11E6"/>
    <w:pPr>
      <w:tabs>
        <w:tab w:val="left" w:pos="624"/>
        <w:tab w:val="left" w:pos="1247"/>
        <w:tab w:val="left" w:pos="1814"/>
      </w:tabs>
      <w:spacing w:after="0" w:line="240" w:lineRule="auto"/>
    </w:pPr>
    <w:rPr>
      <w:rFonts w:ascii="Times New Roman" w:eastAsiaTheme="minorHAnsi" w:hAnsi="Times New Roman" w:cs="Times New Roman"/>
      <w:sz w:val="20"/>
      <w:szCs w:val="20"/>
      <w:lang w:val="en-GB" w:eastAsia="en-GB"/>
    </w:rPr>
  </w:style>
  <w:style w:type="character" w:customStyle="1" w:styleId="Normal-poolChar">
    <w:name w:val="Normal-pool Char"/>
    <w:link w:val="Normal-pool"/>
    <w:locked/>
    <w:rsid w:val="00FC11E6"/>
    <w:rPr>
      <w:rFonts w:ascii="Times New Roman" w:eastAsiaTheme="minorHAnsi" w:hAnsi="Times New Roman" w:cs="Times New Roman"/>
      <w:sz w:val="20"/>
      <w:szCs w:val="20"/>
      <w:lang w:val="en-GB" w:eastAsia="en-GB"/>
    </w:rPr>
  </w:style>
  <w:style w:type="character" w:customStyle="1" w:styleId="CH2Char">
    <w:name w:val="CH2 Char"/>
    <w:link w:val="CH2"/>
    <w:rsid w:val="00FC11E6"/>
    <w:rPr>
      <w:rFonts w:ascii="Times New Roman" w:eastAsiaTheme="minorHAnsi" w:hAnsi="Times New Roman" w:cs="Times New Roman"/>
      <w:b/>
      <w:sz w:val="24"/>
      <w:szCs w:val="24"/>
      <w:lang w:val="en-GB" w:eastAsia="en-GB"/>
    </w:rPr>
  </w:style>
  <w:style w:type="paragraph" w:customStyle="1" w:styleId="BVIfnrCharCharCharChar">
    <w:name w:val="BVI fnr Char Char Char Char"/>
    <w:aliases w:val=" BVI fnr Car Car Char Char Char Char,BVI fnr Car Char Char Char Char, BVI fnr Car Car Car Car Char Char Char Char, BVI fnr Car Car Car Car Char Char Char1 Char Char,BVI fnr Car Car Char Char Char Char"/>
    <w:basedOn w:val="Normal"/>
    <w:link w:val="FootnoteReference"/>
    <w:semiHidden/>
    <w:rsid w:val="00FC11E6"/>
    <w:pPr>
      <w:spacing w:before="120" w:line="240" w:lineRule="exact"/>
    </w:pPr>
    <w:rPr>
      <w:rFonts w:eastAsia="SimSun"/>
      <w:color w:val="000000"/>
      <w:spacing w:val="-5"/>
      <w:w w:val="130"/>
      <w:position w:val="-4"/>
      <w:szCs w:val="18"/>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112</Words>
  <Characters>644</Characters>
  <Application>Microsoft Office Word</Application>
  <DocSecurity>0</DocSecurity>
  <Lines>5</Lines>
  <Paragraphs>1</Paragraphs>
  <ScaleCrop>false</ScaleCrop>
  <Company/>
  <LinksUpToDate>false</LinksUpToDate>
  <CharactersWithSpaces>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 Gong</dc:creator>
  <cp:keywords/>
  <dc:description/>
  <cp:lastModifiedBy>Le Gong</cp:lastModifiedBy>
  <cp:revision>2</cp:revision>
  <dcterms:created xsi:type="dcterms:W3CDTF">2023-04-25T09:44:00Z</dcterms:created>
  <dcterms:modified xsi:type="dcterms:W3CDTF">2023-04-25T09:44:00Z</dcterms:modified>
</cp:coreProperties>
</file>