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B7508" w14:textId="77777777" w:rsidR="00542DFC" w:rsidRPr="00B831E7" w:rsidRDefault="00542DFC" w:rsidP="00542DFC">
      <w:pPr>
        <w:pStyle w:val="CH1"/>
      </w:pPr>
      <w:bookmarkStart w:id="0" w:name="_Hlk106790788"/>
      <w:r w:rsidRPr="00B831E7">
        <w:tab/>
      </w:r>
      <w:r w:rsidRPr="00B831E7">
        <w:tab/>
        <w:t xml:space="preserve">BC-15/11: Technical guidelines </w:t>
      </w:r>
      <w:bookmarkStart w:id="1" w:name="_Hlk106790759"/>
      <w:r w:rsidRPr="00B831E7">
        <w:t>on the environmentally sound management of waste lead-acid batteries and on other waste batteries</w:t>
      </w:r>
      <w:r w:rsidRPr="00B831E7">
        <w:rPr>
          <w:sz w:val="24"/>
          <w:szCs w:val="24"/>
        </w:rPr>
        <w:t xml:space="preserve"> </w:t>
      </w:r>
      <w:bookmarkEnd w:id="1"/>
    </w:p>
    <w:bookmarkEnd w:id="0"/>
    <w:p w14:paraId="53D5ABA4" w14:textId="77777777" w:rsidR="00542DFC" w:rsidRPr="00B831E7" w:rsidRDefault="00542DFC" w:rsidP="00542DFC">
      <w:pPr>
        <w:pStyle w:val="Normal-pool"/>
        <w:tabs>
          <w:tab w:val="clear" w:pos="1247"/>
          <w:tab w:val="clear" w:pos="1814"/>
        </w:tabs>
        <w:spacing w:after="120"/>
        <w:ind w:left="1247" w:firstLine="624"/>
        <w:rPr>
          <w:i/>
          <w:iCs/>
        </w:rPr>
      </w:pPr>
      <w:r w:rsidRPr="00B831E7">
        <w:rPr>
          <w:i/>
          <w:iCs/>
        </w:rPr>
        <w:t>The Conference of the Parties,</w:t>
      </w:r>
    </w:p>
    <w:p w14:paraId="4726969B" w14:textId="77777777" w:rsidR="00542DFC" w:rsidRPr="00B831E7" w:rsidRDefault="00542DFC" w:rsidP="00542DFC">
      <w:pPr>
        <w:pStyle w:val="Normal-pool"/>
        <w:tabs>
          <w:tab w:val="clear" w:pos="1247"/>
          <w:tab w:val="clear" w:pos="1814"/>
        </w:tabs>
        <w:spacing w:after="120"/>
        <w:ind w:left="1247" w:firstLine="624"/>
      </w:pPr>
      <w:r w:rsidRPr="00B831E7">
        <w:rPr>
          <w:i/>
          <w:iCs/>
        </w:rPr>
        <w:t>Having considered</w:t>
      </w:r>
      <w:r w:rsidRPr="00B831E7">
        <w:t xml:space="preserve"> the invitation of the United Nations Environment Assembly, in its resolution 3/9, on </w:t>
      </w:r>
      <w:r w:rsidRPr="00B831E7">
        <w:rPr>
          <w:rStyle w:val="Normal-poolChar"/>
        </w:rPr>
        <w:t>eliminating</w:t>
      </w:r>
      <w:r w:rsidRPr="00B831E7">
        <w:t xml:space="preserve"> exposure to lead paint and promoting environmentally sound management of waste lead-acid batteries, to consider revising the technical guidelines for the environmentally sound management of waste lead-acid batteries regarding the application of new technologies in different aspects of environmentally sound management systems,</w:t>
      </w:r>
    </w:p>
    <w:p w14:paraId="2E6CA4F5" w14:textId="77777777" w:rsidR="00542DFC" w:rsidRPr="00B831E7" w:rsidRDefault="00542DFC" w:rsidP="00542DFC">
      <w:pPr>
        <w:pStyle w:val="Normal-pool"/>
        <w:tabs>
          <w:tab w:val="clear" w:pos="1247"/>
          <w:tab w:val="clear" w:pos="1814"/>
        </w:tabs>
        <w:spacing w:after="120"/>
        <w:ind w:left="1247" w:firstLine="624"/>
      </w:pPr>
      <w:r w:rsidRPr="00B831E7">
        <w:rPr>
          <w:iCs/>
        </w:rPr>
        <w:t>1.</w:t>
      </w:r>
      <w:r w:rsidRPr="00B831E7">
        <w:rPr>
          <w:i/>
        </w:rPr>
        <w:tab/>
        <w:t>Recalls</w:t>
      </w:r>
      <w:r w:rsidRPr="00B831E7">
        <w:rPr>
          <w:i/>
          <w:color w:val="000000"/>
        </w:rPr>
        <w:t xml:space="preserve"> </w:t>
      </w:r>
      <w:r w:rsidRPr="00B831E7">
        <w:rPr>
          <w:color w:val="000000"/>
        </w:rPr>
        <w:t>decision BC-</w:t>
      </w:r>
      <w:r w:rsidRPr="00B831E7">
        <w:t xml:space="preserve">VI/22, </w:t>
      </w:r>
      <w:r w:rsidRPr="00B831E7">
        <w:rPr>
          <w:color w:val="000000"/>
        </w:rPr>
        <w:t>by which it adopted the</w:t>
      </w:r>
      <w:r w:rsidRPr="00B831E7">
        <w:t xml:space="preserve"> technical guidelines for the environmentally sound management of waste lead-acid batteries;</w:t>
      </w:r>
      <w:r w:rsidRPr="00B831E7">
        <w:rPr>
          <w:vertAlign w:val="superscript"/>
        </w:rPr>
        <w:footnoteReference w:id="1"/>
      </w:r>
    </w:p>
    <w:p w14:paraId="19010D05" w14:textId="77777777" w:rsidR="00542DFC" w:rsidRPr="00B831E7" w:rsidRDefault="00542DFC" w:rsidP="00542DFC">
      <w:pPr>
        <w:pStyle w:val="Normal-pool"/>
        <w:tabs>
          <w:tab w:val="clear" w:pos="1247"/>
          <w:tab w:val="clear" w:pos="1814"/>
        </w:tabs>
        <w:spacing w:after="120"/>
        <w:ind w:left="1247" w:firstLine="624"/>
        <w:rPr>
          <w:i/>
          <w:color w:val="000000"/>
          <w:lang w:eastAsia="en-CA"/>
        </w:rPr>
      </w:pPr>
      <w:r w:rsidRPr="00B831E7">
        <w:rPr>
          <w:iCs/>
        </w:rPr>
        <w:t>2.</w:t>
      </w:r>
      <w:bookmarkStart w:id="3" w:name="_Hlk106790869"/>
      <w:r w:rsidRPr="00B831E7">
        <w:rPr>
          <w:i/>
        </w:rPr>
        <w:tab/>
        <w:t>Decides</w:t>
      </w:r>
      <w:r w:rsidRPr="00B831E7">
        <w:rPr>
          <w:i/>
          <w:color w:val="000000"/>
          <w:lang w:eastAsia="en-CA"/>
        </w:rPr>
        <w:t xml:space="preserve"> </w:t>
      </w:r>
      <w:r w:rsidRPr="00B831E7">
        <w:rPr>
          <w:color w:val="000000"/>
          <w:lang w:eastAsia="en-CA"/>
        </w:rPr>
        <w:t xml:space="preserve">that the </w:t>
      </w:r>
      <w:r w:rsidRPr="00B831E7">
        <w:t>technical guidelines on the environmentally sound management of waste lead-acid batteries</w:t>
      </w:r>
      <w:r w:rsidRPr="00B831E7">
        <w:rPr>
          <w:color w:val="000000"/>
          <w:lang w:eastAsia="en-CA"/>
        </w:rPr>
        <w:t xml:space="preserve"> should be </w:t>
      </w:r>
      <w:proofErr w:type="gramStart"/>
      <w:r w:rsidRPr="00B831E7">
        <w:rPr>
          <w:color w:val="000000"/>
          <w:lang w:eastAsia="en-CA"/>
        </w:rPr>
        <w:t>updated;</w:t>
      </w:r>
      <w:bookmarkEnd w:id="3"/>
      <w:proofErr w:type="gramEnd"/>
    </w:p>
    <w:p w14:paraId="585D2D44" w14:textId="77777777" w:rsidR="00542DFC" w:rsidRPr="00B831E7" w:rsidRDefault="00542DFC" w:rsidP="00542DFC">
      <w:pPr>
        <w:pStyle w:val="Normal-pool"/>
        <w:tabs>
          <w:tab w:val="clear" w:pos="1247"/>
          <w:tab w:val="clear" w:pos="1814"/>
        </w:tabs>
        <w:spacing w:after="120"/>
        <w:ind w:left="1247" w:firstLine="624"/>
        <w:rPr>
          <w:i/>
          <w:color w:val="000000"/>
          <w:lang w:eastAsia="en-CA"/>
        </w:rPr>
      </w:pPr>
      <w:r w:rsidRPr="00B831E7">
        <w:rPr>
          <w:iCs/>
        </w:rPr>
        <w:t>3.</w:t>
      </w:r>
      <w:r w:rsidRPr="00B831E7">
        <w:rPr>
          <w:i/>
        </w:rPr>
        <w:tab/>
        <w:t xml:space="preserve">Welcomes </w:t>
      </w:r>
      <w:r w:rsidRPr="00B831E7">
        <w:rPr>
          <w:i/>
          <w:iCs/>
        </w:rPr>
        <w:t>with appreciation</w:t>
      </w:r>
      <w:r w:rsidRPr="00B831E7">
        <w:t xml:space="preserve"> the offer of Uruguay to act as a lead country in the updating of the technical guidelines referred to in paragraph 2 of the present decision and invites other Parties to consider serving as co-lead country and to inform the Secretariat by 31 July 2022 of their willingness to do </w:t>
      </w:r>
      <w:proofErr w:type="gramStart"/>
      <w:r w:rsidRPr="00B831E7">
        <w:t>so;</w:t>
      </w:r>
      <w:proofErr w:type="gramEnd"/>
    </w:p>
    <w:p w14:paraId="099E693E" w14:textId="77777777" w:rsidR="00542DFC" w:rsidRPr="00B831E7" w:rsidRDefault="00542DFC" w:rsidP="00542DFC">
      <w:pPr>
        <w:pStyle w:val="Normal-pool"/>
        <w:tabs>
          <w:tab w:val="clear" w:pos="1247"/>
          <w:tab w:val="clear" w:pos="1814"/>
        </w:tabs>
        <w:spacing w:after="120"/>
        <w:ind w:left="1247" w:firstLine="624"/>
        <w:rPr>
          <w:i/>
          <w:color w:val="000000"/>
          <w:lang w:eastAsia="en-CA"/>
        </w:rPr>
      </w:pPr>
      <w:r w:rsidRPr="00B831E7">
        <w:rPr>
          <w:iCs/>
        </w:rPr>
        <w:t>4.</w:t>
      </w:r>
      <w:r w:rsidRPr="00B831E7">
        <w:rPr>
          <w:i/>
          <w:color w:val="000000"/>
          <w:lang w:eastAsia="en-CA"/>
        </w:rPr>
        <w:tab/>
      </w:r>
      <w:bookmarkStart w:id="4" w:name="_Hlk106791072"/>
      <w:r w:rsidRPr="00B831E7">
        <w:rPr>
          <w:i/>
          <w:color w:val="000000"/>
          <w:lang w:eastAsia="en-CA"/>
        </w:rPr>
        <w:t>Decides</w:t>
      </w:r>
      <w:r w:rsidRPr="00B831E7">
        <w:rPr>
          <w:color w:val="000000"/>
          <w:lang w:eastAsia="en-CA"/>
        </w:rPr>
        <w:t xml:space="preserve"> that </w:t>
      </w:r>
      <w:bookmarkStart w:id="5" w:name="_Hlk106791256"/>
      <w:r w:rsidRPr="00B831E7">
        <w:rPr>
          <w:color w:val="000000"/>
          <w:lang w:eastAsia="en-CA"/>
        </w:rPr>
        <w:t xml:space="preserve">technical guidelines on the environmentally sound management of waste batteries other than waste lead-acid batteries </w:t>
      </w:r>
      <w:bookmarkEnd w:id="5"/>
      <w:r w:rsidRPr="00B831E7">
        <w:rPr>
          <w:color w:val="000000"/>
          <w:lang w:eastAsia="en-CA"/>
        </w:rPr>
        <w:t xml:space="preserve">should be </w:t>
      </w:r>
      <w:proofErr w:type="gramStart"/>
      <w:r w:rsidRPr="00B831E7">
        <w:rPr>
          <w:color w:val="000000"/>
          <w:lang w:eastAsia="en-CA"/>
        </w:rPr>
        <w:t>developed;</w:t>
      </w:r>
      <w:bookmarkEnd w:id="4"/>
      <w:proofErr w:type="gramEnd"/>
    </w:p>
    <w:p w14:paraId="1D381357" w14:textId="77777777" w:rsidR="00542DFC" w:rsidRPr="00B831E7" w:rsidRDefault="00542DFC" w:rsidP="00542DFC">
      <w:pPr>
        <w:pStyle w:val="Normal-pool"/>
        <w:tabs>
          <w:tab w:val="clear" w:pos="1247"/>
          <w:tab w:val="clear" w:pos="1814"/>
        </w:tabs>
        <w:spacing w:after="120"/>
        <w:ind w:left="1247" w:firstLine="624"/>
        <w:rPr>
          <w:color w:val="000000"/>
          <w:lang w:eastAsia="en-CA"/>
        </w:rPr>
      </w:pPr>
      <w:r w:rsidRPr="00B831E7">
        <w:rPr>
          <w:iCs/>
        </w:rPr>
        <w:t>5.</w:t>
      </w:r>
      <w:r w:rsidRPr="00B831E7">
        <w:rPr>
          <w:i/>
        </w:rPr>
        <w:tab/>
        <w:t>Invites</w:t>
      </w:r>
      <w:r w:rsidRPr="00B831E7">
        <w:rPr>
          <w:i/>
          <w:color w:val="000000"/>
          <w:lang w:eastAsia="en-CA"/>
        </w:rPr>
        <w:t xml:space="preserve"> </w:t>
      </w:r>
      <w:r w:rsidRPr="00B831E7">
        <w:t xml:space="preserve">Parties </w:t>
      </w:r>
      <w:r w:rsidRPr="00B831E7">
        <w:rPr>
          <w:lang w:eastAsia="de-DE"/>
        </w:rPr>
        <w:t xml:space="preserve">to consider serving as lead country </w:t>
      </w:r>
      <w:r w:rsidRPr="00B831E7">
        <w:rPr>
          <w:color w:val="000000"/>
          <w:lang w:eastAsia="en-CA"/>
        </w:rPr>
        <w:t>in the development of the technical guidelines</w:t>
      </w:r>
      <w:r w:rsidRPr="00B831E7">
        <w:rPr>
          <w:lang w:eastAsia="de-DE"/>
        </w:rPr>
        <w:t xml:space="preserve"> referred to in paragraph 4 of the present decision </w:t>
      </w:r>
      <w:r w:rsidRPr="00B831E7">
        <w:rPr>
          <w:bCs/>
        </w:rPr>
        <w:t>and</w:t>
      </w:r>
      <w:r w:rsidRPr="00B831E7">
        <w:rPr>
          <w:lang w:eastAsia="de-DE"/>
        </w:rPr>
        <w:t xml:space="preserve"> to inform the Secretariat by 31 July 2022 of their willingness to do </w:t>
      </w:r>
      <w:proofErr w:type="gramStart"/>
      <w:r w:rsidRPr="00B831E7">
        <w:rPr>
          <w:lang w:eastAsia="de-DE"/>
        </w:rPr>
        <w:t>so;</w:t>
      </w:r>
      <w:proofErr w:type="gramEnd"/>
      <w:r w:rsidRPr="00B831E7">
        <w:rPr>
          <w:lang w:eastAsia="de-DE"/>
        </w:rPr>
        <w:t xml:space="preserve"> </w:t>
      </w:r>
    </w:p>
    <w:p w14:paraId="0B4AC3B4" w14:textId="77777777" w:rsidR="00542DFC" w:rsidRPr="00B831E7" w:rsidRDefault="00542DFC" w:rsidP="00542DFC">
      <w:pPr>
        <w:pStyle w:val="Normal-pool"/>
        <w:tabs>
          <w:tab w:val="clear" w:pos="1247"/>
          <w:tab w:val="clear" w:pos="1814"/>
        </w:tabs>
        <w:spacing w:after="120"/>
        <w:ind w:left="1247" w:firstLine="624"/>
        <w:rPr>
          <w:i/>
          <w:color w:val="000000"/>
          <w:lang w:eastAsia="en-CA"/>
        </w:rPr>
      </w:pPr>
      <w:r w:rsidRPr="00B831E7">
        <w:rPr>
          <w:iCs/>
        </w:rPr>
        <w:t>6.</w:t>
      </w:r>
      <w:r w:rsidRPr="00B831E7">
        <w:rPr>
          <w:i/>
        </w:rPr>
        <w:tab/>
      </w:r>
      <w:bookmarkStart w:id="6" w:name="_Hlk106791207"/>
      <w:r w:rsidRPr="00B831E7">
        <w:rPr>
          <w:i/>
        </w:rPr>
        <w:t>Decides</w:t>
      </w:r>
      <w:r w:rsidRPr="00B831E7">
        <w:rPr>
          <w:i/>
          <w:color w:val="000000"/>
          <w:lang w:eastAsia="en-CA"/>
        </w:rPr>
        <w:t xml:space="preserve"> </w:t>
      </w:r>
      <w:r w:rsidRPr="00B831E7">
        <w:rPr>
          <w:color w:val="000000"/>
          <w:lang w:eastAsia="en-CA"/>
        </w:rPr>
        <w:t xml:space="preserve">to establish a small intersessional working group, operating by electronic means, to undertake, as a priority and a matter of urgency, the updating referred to in paragraph 2 of the present decision, as well as to develop the guidelines referred to in paragraph 4 of the present </w:t>
      </w:r>
      <w:proofErr w:type="gramStart"/>
      <w:r w:rsidRPr="00B831E7">
        <w:rPr>
          <w:color w:val="000000"/>
          <w:lang w:eastAsia="en-CA"/>
        </w:rPr>
        <w:t>decision;</w:t>
      </w:r>
      <w:bookmarkEnd w:id="6"/>
      <w:proofErr w:type="gramEnd"/>
    </w:p>
    <w:p w14:paraId="4E4294BA" w14:textId="77777777" w:rsidR="00542DFC" w:rsidRPr="00B831E7" w:rsidRDefault="00542DFC" w:rsidP="00542DFC">
      <w:pPr>
        <w:pStyle w:val="Normal-pool"/>
        <w:tabs>
          <w:tab w:val="clear" w:pos="1247"/>
          <w:tab w:val="clear" w:pos="1814"/>
        </w:tabs>
        <w:spacing w:after="120"/>
        <w:ind w:left="1247" w:firstLine="624"/>
        <w:rPr>
          <w:color w:val="000000"/>
          <w:lang w:eastAsia="en-CA"/>
        </w:rPr>
      </w:pPr>
      <w:r w:rsidRPr="00B831E7">
        <w:rPr>
          <w:iCs/>
        </w:rPr>
        <w:t>7.</w:t>
      </w:r>
      <w:r w:rsidRPr="00B831E7">
        <w:rPr>
          <w:i/>
        </w:rPr>
        <w:tab/>
        <w:t>Invites</w:t>
      </w:r>
      <w:r w:rsidRPr="00B831E7">
        <w:rPr>
          <w:i/>
          <w:color w:val="000000"/>
          <w:lang w:eastAsia="en-CA"/>
        </w:rPr>
        <w:t xml:space="preserve"> </w:t>
      </w:r>
      <w:r w:rsidRPr="00B831E7">
        <w:rPr>
          <w:color w:val="000000"/>
          <w:lang w:eastAsia="en-CA"/>
        </w:rPr>
        <w:t>Parties and observers to nominate experts to participate in the small intersessional working group and to inform the Secretariat of their nominations by 31 July </w:t>
      </w:r>
      <w:proofErr w:type="gramStart"/>
      <w:r w:rsidRPr="00B831E7">
        <w:rPr>
          <w:color w:val="000000"/>
          <w:lang w:eastAsia="en-CA"/>
        </w:rPr>
        <w:t>2022;</w:t>
      </w:r>
      <w:proofErr w:type="gramEnd"/>
    </w:p>
    <w:p w14:paraId="6B507038" w14:textId="77777777" w:rsidR="00542DFC" w:rsidRPr="00B831E7" w:rsidRDefault="00542DFC" w:rsidP="00542DFC">
      <w:pPr>
        <w:pStyle w:val="Normal-pool"/>
        <w:tabs>
          <w:tab w:val="clear" w:pos="1247"/>
          <w:tab w:val="clear" w:pos="1814"/>
        </w:tabs>
        <w:spacing w:after="120"/>
        <w:ind w:left="1247" w:firstLine="624"/>
        <w:rPr>
          <w:color w:val="000000"/>
          <w:lang w:eastAsia="en-CA"/>
        </w:rPr>
      </w:pPr>
      <w:r w:rsidRPr="00B831E7">
        <w:rPr>
          <w:iCs/>
        </w:rPr>
        <w:t>8.</w:t>
      </w:r>
      <w:r w:rsidRPr="00B831E7">
        <w:rPr>
          <w:color w:val="000000"/>
          <w:lang w:eastAsia="en-CA"/>
        </w:rPr>
        <w:tab/>
      </w:r>
      <w:r w:rsidRPr="00B831E7">
        <w:rPr>
          <w:i/>
          <w:iCs/>
          <w:color w:val="000000"/>
          <w:lang w:eastAsia="en-CA"/>
        </w:rPr>
        <w:t>Invites</w:t>
      </w:r>
      <w:r w:rsidRPr="00B831E7">
        <w:rPr>
          <w:color w:val="000000"/>
          <w:lang w:eastAsia="en-CA"/>
        </w:rPr>
        <w:t xml:space="preserve"> Parties and other stakeholders to make financial and in-kind contributions to support the activities referred to in paragraphs 2 and 4 of the present </w:t>
      </w:r>
      <w:proofErr w:type="gramStart"/>
      <w:r w:rsidRPr="00B831E7">
        <w:rPr>
          <w:color w:val="000000"/>
          <w:lang w:eastAsia="en-CA"/>
        </w:rPr>
        <w:t>decision;</w:t>
      </w:r>
      <w:proofErr w:type="gramEnd"/>
    </w:p>
    <w:p w14:paraId="07EE0D95" w14:textId="77777777" w:rsidR="00542DFC" w:rsidRPr="00B831E7" w:rsidRDefault="00542DFC" w:rsidP="00542DFC">
      <w:pPr>
        <w:pStyle w:val="Normal-pool"/>
        <w:tabs>
          <w:tab w:val="clear" w:pos="1247"/>
          <w:tab w:val="clear" w:pos="1814"/>
        </w:tabs>
        <w:spacing w:after="120"/>
        <w:ind w:left="1247" w:firstLine="624"/>
        <w:rPr>
          <w:color w:val="000000"/>
          <w:lang w:eastAsia="en-CA"/>
        </w:rPr>
      </w:pPr>
      <w:r w:rsidRPr="00B831E7">
        <w:rPr>
          <w:iCs/>
        </w:rPr>
        <w:t>9.</w:t>
      </w:r>
      <w:r w:rsidRPr="00B831E7">
        <w:rPr>
          <w:i/>
        </w:rPr>
        <w:tab/>
        <w:t>Requests</w:t>
      </w:r>
      <w:r w:rsidRPr="00B831E7">
        <w:rPr>
          <w:i/>
          <w:color w:val="000000"/>
          <w:lang w:eastAsia="en-CA"/>
        </w:rPr>
        <w:t xml:space="preserve"> </w:t>
      </w:r>
      <w:r w:rsidRPr="00B831E7">
        <w:rPr>
          <w:color w:val="000000"/>
          <w:lang w:eastAsia="en-CA"/>
        </w:rPr>
        <w:t xml:space="preserve">the lead country or countries, with the assistance of the Secretariat, subject to the availability of resources, in consultation with the small intersessional working group, to prepare the updated technical guidelines referred to in paragraph 2 of the present decision for consideration by the Open-ended Working Group at its </w:t>
      </w:r>
      <w:r w:rsidRPr="00B831E7">
        <w:t xml:space="preserve">thirteenth </w:t>
      </w:r>
      <w:proofErr w:type="gramStart"/>
      <w:r w:rsidRPr="00B831E7">
        <w:rPr>
          <w:color w:val="000000"/>
          <w:lang w:eastAsia="en-CA"/>
        </w:rPr>
        <w:t>meeting;</w:t>
      </w:r>
      <w:proofErr w:type="gramEnd"/>
    </w:p>
    <w:p w14:paraId="528BBCB5" w14:textId="77777777" w:rsidR="00542DFC" w:rsidRPr="00B831E7" w:rsidRDefault="00542DFC" w:rsidP="00542DFC">
      <w:pPr>
        <w:pStyle w:val="Normal-pool"/>
        <w:tabs>
          <w:tab w:val="clear" w:pos="1247"/>
          <w:tab w:val="clear" w:pos="1814"/>
        </w:tabs>
        <w:spacing w:after="120"/>
        <w:ind w:left="1247" w:firstLine="624"/>
        <w:rPr>
          <w:color w:val="000000"/>
          <w:lang w:eastAsia="en-CA"/>
        </w:rPr>
      </w:pPr>
      <w:r w:rsidRPr="00B831E7">
        <w:rPr>
          <w:iCs/>
        </w:rPr>
        <w:t>10.</w:t>
      </w:r>
      <w:r w:rsidRPr="00B831E7">
        <w:rPr>
          <w:i/>
        </w:rPr>
        <w:tab/>
        <w:t xml:space="preserve">Requests </w:t>
      </w:r>
      <w:r w:rsidRPr="00B831E7">
        <w:rPr>
          <w:color w:val="000000"/>
          <w:lang w:eastAsia="en-CA"/>
        </w:rPr>
        <w:t xml:space="preserve">the lead country or countries or, if there is no lead country or countries, the Secretariat, subject to the availability of resources, in consultation with the small intersessional working group, to prepare a draft of the technical guidelines referred to in paragraph 4 of the present decision for consideration by the Conference of the Parties at its sixteenth </w:t>
      </w:r>
      <w:proofErr w:type="gramStart"/>
      <w:r w:rsidRPr="00B831E7">
        <w:rPr>
          <w:color w:val="000000"/>
          <w:lang w:eastAsia="en-CA"/>
        </w:rPr>
        <w:t>meeting;</w:t>
      </w:r>
      <w:proofErr w:type="gramEnd"/>
    </w:p>
    <w:p w14:paraId="55D352B4" w14:textId="77777777" w:rsidR="00542DFC" w:rsidRPr="00B831E7" w:rsidRDefault="00542DFC" w:rsidP="00542DFC">
      <w:pPr>
        <w:pStyle w:val="Normal-pool"/>
        <w:tabs>
          <w:tab w:val="clear" w:pos="1247"/>
          <w:tab w:val="clear" w:pos="1814"/>
        </w:tabs>
        <w:spacing w:after="120"/>
        <w:ind w:left="1247" w:firstLine="624"/>
        <w:rPr>
          <w:iCs/>
        </w:rPr>
      </w:pPr>
      <w:r w:rsidRPr="00B831E7">
        <w:rPr>
          <w:iCs/>
        </w:rPr>
        <w:t>11.</w:t>
      </w:r>
      <w:r w:rsidRPr="00B831E7">
        <w:rPr>
          <w:i/>
        </w:rPr>
        <w:tab/>
        <w:t>Requests</w:t>
      </w:r>
      <w:r w:rsidRPr="00B831E7">
        <w:rPr>
          <w:iCs/>
        </w:rPr>
        <w:t xml:space="preserve"> the Secretariat to report on the implementation of the present decision to the Open-ended Working Group at its thirteenth meeting and to the Conference of the Parties at its sixteenth meeting. </w:t>
      </w:r>
    </w:p>
    <w:p w14:paraId="1D7F4CB3" w14:textId="0E11EF1F" w:rsidR="00F935A6" w:rsidRPr="00542DFC" w:rsidRDefault="00F935A6" w:rsidP="00542DFC">
      <w:pPr>
        <w:spacing w:after="120"/>
        <w:rPr>
          <w:rFonts w:eastAsia="Times New Roman"/>
          <w:lang w:val="en-GB"/>
        </w:rPr>
      </w:pPr>
    </w:p>
    <w:sectPr w:rsidR="00F935A6" w:rsidRPr="00542DF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756DD" w14:textId="77777777" w:rsidR="003E0572" w:rsidRDefault="003E0572" w:rsidP="004956AB">
      <w:r>
        <w:separator/>
      </w:r>
    </w:p>
  </w:endnote>
  <w:endnote w:type="continuationSeparator" w:id="0">
    <w:p w14:paraId="3892D7CE" w14:textId="77777777" w:rsidR="003E0572" w:rsidRDefault="003E0572"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18B50" w14:textId="77777777" w:rsidR="003E0572" w:rsidRDefault="003E0572" w:rsidP="004956AB">
      <w:r>
        <w:separator/>
      </w:r>
    </w:p>
  </w:footnote>
  <w:footnote w:type="continuationSeparator" w:id="0">
    <w:p w14:paraId="7BF555B4" w14:textId="77777777" w:rsidR="003E0572" w:rsidRDefault="003E0572" w:rsidP="004956AB">
      <w:r>
        <w:continuationSeparator/>
      </w:r>
    </w:p>
  </w:footnote>
  <w:footnote w:id="1">
    <w:p w14:paraId="79A1CC15" w14:textId="77777777" w:rsidR="00542DFC" w:rsidRPr="000629DC" w:rsidRDefault="00542DFC" w:rsidP="00542DFC">
      <w:pPr>
        <w:pStyle w:val="Footnote-Text"/>
        <w:rPr>
          <w:szCs w:val="18"/>
        </w:rPr>
      </w:pPr>
      <w:r w:rsidRPr="000629DC">
        <w:rPr>
          <w:szCs w:val="18"/>
          <w:vertAlign w:val="superscript"/>
        </w:rPr>
        <w:footnoteRef/>
      </w:r>
      <w:r w:rsidRPr="000629DC">
        <w:rPr>
          <w:szCs w:val="18"/>
        </w:rPr>
        <w:t xml:space="preserve"> </w:t>
      </w:r>
      <w:bookmarkStart w:id="2" w:name="_Hlk106791089"/>
      <w:r w:rsidRPr="000629DC">
        <w:rPr>
          <w:szCs w:val="18"/>
        </w:rPr>
        <w:t>UNEP/CHW.6/22, annex.</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9535577">
    <w:abstractNumId w:val="2"/>
  </w:num>
  <w:num w:numId="2" w16cid:durableId="1473252469">
    <w:abstractNumId w:val="0"/>
  </w:num>
  <w:num w:numId="3" w16cid:durableId="1856917451">
    <w:abstractNumId w:val="6"/>
  </w:num>
  <w:num w:numId="4" w16cid:durableId="1559896294">
    <w:abstractNumId w:val="4"/>
  </w:num>
  <w:num w:numId="5" w16cid:durableId="1636064875">
    <w:abstractNumId w:val="1"/>
  </w:num>
  <w:num w:numId="6" w16cid:durableId="1075932777">
    <w:abstractNumId w:val="5"/>
  </w:num>
  <w:num w:numId="7" w16cid:durableId="1541168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3E0572"/>
    <w:rsid w:val="004956AB"/>
    <w:rsid w:val="00542DFC"/>
    <w:rsid w:val="00836B73"/>
    <w:rsid w:val="00884140"/>
    <w:rsid w:val="00C24420"/>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Words>
  <Characters>2705</Characters>
  <Application>Microsoft Office Word</Application>
  <DocSecurity>0</DocSecurity>
  <Lines>22</Lines>
  <Paragraphs>6</Paragraphs>
  <ScaleCrop>false</ScaleCrop>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2023-04-24T13:01:00Z</dcterms:created>
  <dcterms:modified xsi:type="dcterms:W3CDTF">2023-04-24T13:01:00Z</dcterms:modified>
</cp:coreProperties>
</file>