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5F5CB" w14:textId="77777777" w:rsidR="00A83FA0" w:rsidRPr="00447994" w:rsidRDefault="00A83FA0" w:rsidP="00A83FA0">
      <w:pPr>
        <w:pStyle w:val="CH1"/>
        <w:keepNext w:val="0"/>
        <w:keepLines w:val="0"/>
        <w:rPr>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15/12: Cooperación con la Organización Mundial de Aduanas sobre el Sistema Armonizado de Designación y Codificación de Mercancías</w:t>
      </w:r>
    </w:p>
    <w:p w14:paraId="08A34730" w14:textId="77777777" w:rsidR="00A83FA0" w:rsidRPr="00447994" w:rsidRDefault="00A83FA0" w:rsidP="00A83FA0">
      <w:pPr>
        <w:pStyle w:val="Normal-pool"/>
        <w:tabs>
          <w:tab w:val="clear" w:pos="1247"/>
          <w:tab w:val="clear" w:pos="1814"/>
        </w:tabs>
        <w:spacing w:after="120"/>
        <w:ind w:left="1247" w:firstLine="624"/>
        <w:rPr>
          <w:i/>
          <w:iCs/>
          <w:lang w:val="es-ES_tradnl"/>
        </w:rPr>
      </w:pPr>
      <w:bookmarkStart w:id="0" w:name="_Hlk64023872"/>
      <w:r w:rsidRPr="00447994">
        <w:rPr>
          <w:i/>
          <w:iCs/>
          <w:lang w:val="es-ES_tradnl"/>
        </w:rPr>
        <w:t>La Conferencia de las Partes</w:t>
      </w:r>
    </w:p>
    <w:p w14:paraId="7AEEB920" w14:textId="77777777" w:rsidR="00A83FA0" w:rsidRPr="00447994" w:rsidRDefault="00A83FA0" w:rsidP="00A83FA0">
      <w:pPr>
        <w:pStyle w:val="NormalNonumber"/>
        <w:numPr>
          <w:ilvl w:val="0"/>
          <w:numId w:val="18"/>
        </w:numPr>
        <w:tabs>
          <w:tab w:val="clear" w:pos="1247"/>
          <w:tab w:val="clear" w:pos="1814"/>
        </w:tabs>
        <w:ind w:left="1247" w:firstLine="624"/>
        <w:rPr>
          <w:lang w:val="es-ES_tradnl"/>
        </w:rPr>
      </w:pPr>
      <w:r w:rsidRPr="00447994">
        <w:rPr>
          <w:i/>
          <w:iCs/>
          <w:lang w:val="es-ES_tradnl"/>
        </w:rPr>
        <w:t>Toma nota</w:t>
      </w:r>
      <w:r w:rsidRPr="00447994">
        <w:rPr>
          <w:lang w:val="es-ES_tradnl"/>
        </w:rPr>
        <w:t xml:space="preserve"> del informe sobre el estado de la labor de la Organización Mundial de Aduanas relativa al Sistema Armonizado de Designación y Codificación de Mercancías en lo concerniente al Convenio de Basilea sobre el Control de los Movimientos Transfronterizos de los Desechos Peligrosos y su Eliminación</w:t>
      </w:r>
      <w:r w:rsidRPr="00447994">
        <w:rPr>
          <w:szCs w:val="18"/>
          <w:vertAlign w:val="superscript"/>
          <w:lang w:val="es-ES_tradnl"/>
        </w:rPr>
        <w:footnoteReference w:id="1"/>
      </w:r>
      <w:r w:rsidRPr="00447994">
        <w:rPr>
          <w:lang w:val="es-ES_tradnl"/>
        </w:rPr>
        <w:t xml:space="preserve">; </w:t>
      </w:r>
    </w:p>
    <w:p w14:paraId="334105C6" w14:textId="77777777" w:rsidR="00A83FA0" w:rsidRPr="00447994" w:rsidRDefault="00A83FA0" w:rsidP="00A83FA0">
      <w:pPr>
        <w:pStyle w:val="NormalNonumber"/>
        <w:numPr>
          <w:ilvl w:val="0"/>
          <w:numId w:val="18"/>
        </w:numPr>
        <w:tabs>
          <w:tab w:val="clear" w:pos="1247"/>
          <w:tab w:val="clear" w:pos="1814"/>
        </w:tabs>
        <w:ind w:left="1247" w:firstLine="624"/>
        <w:rPr>
          <w:lang w:val="es-ES_tradnl"/>
        </w:rPr>
      </w:pPr>
      <w:r w:rsidRPr="00447994">
        <w:rPr>
          <w:i/>
          <w:iCs/>
          <w:lang w:val="es-ES_tradnl"/>
        </w:rPr>
        <w:t>Solicita</w:t>
      </w:r>
      <w:r w:rsidRPr="00447994">
        <w:rPr>
          <w:lang w:val="es-ES_tradnl"/>
        </w:rPr>
        <w:t xml:space="preserve"> a la Secretaría que: </w:t>
      </w:r>
    </w:p>
    <w:p w14:paraId="60874E3A" w14:textId="77777777" w:rsidR="00A83FA0" w:rsidRPr="00447994" w:rsidRDefault="00A83FA0" w:rsidP="00A83FA0">
      <w:pPr>
        <w:pStyle w:val="NormalNonumber"/>
        <w:numPr>
          <w:ilvl w:val="0"/>
          <w:numId w:val="19"/>
        </w:numPr>
        <w:tabs>
          <w:tab w:val="clear" w:pos="1247"/>
          <w:tab w:val="clear" w:pos="1814"/>
        </w:tabs>
        <w:ind w:left="1247" w:firstLine="624"/>
        <w:rPr>
          <w:color w:val="000000"/>
          <w:lang w:val="es-ES_tradnl"/>
        </w:rPr>
      </w:pPr>
      <w:r w:rsidRPr="00447994">
        <w:rPr>
          <w:spacing w:val="-2"/>
          <w:lang w:val="es-ES_tradnl"/>
        </w:rPr>
        <w:t>Siga formulando, para su presentación a la Organización Mundial de Aduanas, propuestas de modificación del Sistema Armonizado de Designación y Codificación de Mercancías para permitir la inclusión de los tipos de desechos establecidos en el párrafo 3 a) de la decisión BC</w:t>
      </w:r>
      <w:r w:rsidRPr="00447994">
        <w:rPr>
          <w:spacing w:val="-2"/>
          <w:lang w:val="es-ES_tradnl"/>
        </w:rPr>
        <w:noBreakHyphen/>
        <w:t xml:space="preserve">14/9 </w:t>
      </w:r>
      <w:r w:rsidRPr="00447994">
        <w:rPr>
          <w:lang w:val="es-ES_tradnl"/>
        </w:rPr>
        <w:t>que aún no se hayan incluido en una propuesta;</w:t>
      </w:r>
    </w:p>
    <w:p w14:paraId="41D0E3FB" w14:textId="77777777" w:rsidR="00A83FA0" w:rsidRPr="00447994" w:rsidRDefault="00A83FA0" w:rsidP="00A83FA0">
      <w:pPr>
        <w:pStyle w:val="NormalNonumber"/>
        <w:numPr>
          <w:ilvl w:val="0"/>
          <w:numId w:val="19"/>
        </w:numPr>
        <w:tabs>
          <w:tab w:val="clear" w:pos="1247"/>
          <w:tab w:val="clear" w:pos="1814"/>
        </w:tabs>
        <w:ind w:left="1247" w:firstLine="624"/>
        <w:rPr>
          <w:color w:val="000000"/>
          <w:lang w:val="es-ES_tradnl"/>
        </w:rPr>
      </w:pPr>
      <w:r w:rsidRPr="00447994">
        <w:rPr>
          <w:lang w:val="es-ES_tradnl"/>
        </w:rPr>
        <w:t>Bajo la orientación del Grupo de Trabajo de composición abierta, siga cooperando con el Comité del Sistema Armonizado y los subcomités competentes de la Organización Mundial de Aduanas para facilitar la inclusión de los desechos amparados por el Convenio de Basilea en el Sistema Armonizado de Designación y Codificación de Mercancías;</w:t>
      </w:r>
    </w:p>
    <w:p w14:paraId="05C6F705" w14:textId="77777777" w:rsidR="00A83FA0" w:rsidRPr="00447994" w:rsidRDefault="00A83FA0" w:rsidP="00A83FA0">
      <w:pPr>
        <w:pStyle w:val="NormalNonumber"/>
        <w:numPr>
          <w:ilvl w:val="0"/>
          <w:numId w:val="19"/>
        </w:numPr>
        <w:tabs>
          <w:tab w:val="clear" w:pos="1247"/>
          <w:tab w:val="clear" w:pos="1814"/>
        </w:tabs>
        <w:ind w:left="1247" w:firstLine="624"/>
        <w:rPr>
          <w:lang w:val="es-ES_tradnl"/>
        </w:rPr>
      </w:pPr>
      <w:r w:rsidRPr="00447994">
        <w:rPr>
          <w:lang w:val="es-ES_tradnl"/>
        </w:rPr>
        <w:t xml:space="preserve">Informe sobre los progresos realizados en aplicación de la presente decisión al Grupo de Trabajo de composición abierta en su 13ª reunión y a la Conferencia de las Partes en su 16ª reunión. </w:t>
      </w:r>
      <w:bookmarkEnd w:id="0"/>
    </w:p>
    <w:p w14:paraId="5E5F9B2A" w14:textId="0177BAF2" w:rsidR="00F935A6" w:rsidRPr="00AD56CA" w:rsidRDefault="00F935A6" w:rsidP="00A83FA0">
      <w:pPr>
        <w:pStyle w:val="Normal-pool"/>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4DEFD" w14:textId="77777777" w:rsidR="00C31176" w:rsidRDefault="00C31176" w:rsidP="00162093">
      <w:r>
        <w:separator/>
      </w:r>
    </w:p>
  </w:endnote>
  <w:endnote w:type="continuationSeparator" w:id="0">
    <w:p w14:paraId="147E5AF2" w14:textId="77777777" w:rsidR="00C31176" w:rsidRDefault="00C31176"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9B5D1" w14:textId="77777777" w:rsidR="00C31176" w:rsidRDefault="00C31176" w:rsidP="00162093">
      <w:r>
        <w:separator/>
      </w:r>
    </w:p>
  </w:footnote>
  <w:footnote w:type="continuationSeparator" w:id="0">
    <w:p w14:paraId="015C3DA3" w14:textId="77777777" w:rsidR="00C31176" w:rsidRDefault="00C31176" w:rsidP="00162093">
      <w:r>
        <w:continuationSeparator/>
      </w:r>
    </w:p>
  </w:footnote>
  <w:footnote w:id="1">
    <w:p w14:paraId="223B8077" w14:textId="77777777" w:rsidR="00A83FA0" w:rsidRPr="00122920" w:rsidRDefault="00A83FA0" w:rsidP="00A83FA0">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UNEP/CHW/OEWG.12/INF/10; UNEP/CHW.15/INF/8, anexo 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36FCE92C"/>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E84EB2C6"/>
    <w:lvl w:ilvl="0" w:tplc="F57297D4">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A686E3CA"/>
    <w:lvl w:ilvl="0" w:tplc="040A0017">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5"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E3C42C8"/>
    <w:multiLevelType w:val="hybridMultilevel"/>
    <w:tmpl w:val="F9AAAC82"/>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8"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11C554E"/>
    <w:multiLevelType w:val="hybridMultilevel"/>
    <w:tmpl w:val="78689228"/>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2" w15:restartNumberingAfterBreak="0">
    <w:nsid w:val="54FA404E"/>
    <w:multiLevelType w:val="hybridMultilevel"/>
    <w:tmpl w:val="BF964E18"/>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FA22318"/>
    <w:multiLevelType w:val="hybridMultilevel"/>
    <w:tmpl w:val="7D2A20E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5"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241682"/>
    <w:multiLevelType w:val="hybridMultilevel"/>
    <w:tmpl w:val="FB1861B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5657F53"/>
    <w:multiLevelType w:val="hybridMultilevel"/>
    <w:tmpl w:val="7E062F5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39563191">
    <w:abstractNumId w:val="8"/>
  </w:num>
  <w:num w:numId="2" w16cid:durableId="856044302">
    <w:abstractNumId w:val="9"/>
  </w:num>
  <w:num w:numId="3" w16cid:durableId="462120716">
    <w:abstractNumId w:val="10"/>
  </w:num>
  <w:num w:numId="4" w16cid:durableId="789864886">
    <w:abstractNumId w:val="1"/>
  </w:num>
  <w:num w:numId="5" w16cid:durableId="1728645053">
    <w:abstractNumId w:val="13"/>
  </w:num>
  <w:num w:numId="6" w16cid:durableId="85813326">
    <w:abstractNumId w:val="16"/>
  </w:num>
  <w:num w:numId="7" w16cid:durableId="1191188355">
    <w:abstractNumId w:val="14"/>
  </w:num>
  <w:num w:numId="8" w16cid:durableId="999232160">
    <w:abstractNumId w:val="18"/>
  </w:num>
  <w:num w:numId="9" w16cid:durableId="1014069525">
    <w:abstractNumId w:val="0"/>
  </w:num>
  <w:num w:numId="10" w16cid:durableId="1870412707">
    <w:abstractNumId w:val="11"/>
  </w:num>
  <w:num w:numId="11" w16cid:durableId="841354719">
    <w:abstractNumId w:val="5"/>
  </w:num>
  <w:num w:numId="12" w16cid:durableId="1748526776">
    <w:abstractNumId w:val="2"/>
  </w:num>
  <w:num w:numId="13" w16cid:durableId="587926112">
    <w:abstractNumId w:val="17"/>
  </w:num>
  <w:num w:numId="14" w16cid:durableId="858080661">
    <w:abstractNumId w:val="12"/>
  </w:num>
  <w:num w:numId="15" w16cid:durableId="972829247">
    <w:abstractNumId w:val="3"/>
  </w:num>
  <w:num w:numId="16" w16cid:durableId="561675094">
    <w:abstractNumId w:val="15"/>
  </w:num>
  <w:num w:numId="17" w16cid:durableId="1489244769">
    <w:abstractNumId w:val="6"/>
  </w:num>
  <w:num w:numId="18" w16cid:durableId="1778714523">
    <w:abstractNumId w:val="4"/>
  </w:num>
  <w:num w:numId="19" w16cid:durableId="17548613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162093"/>
    <w:rsid w:val="00245BBD"/>
    <w:rsid w:val="003C0CF7"/>
    <w:rsid w:val="003E56FA"/>
    <w:rsid w:val="0067579D"/>
    <w:rsid w:val="007B69C9"/>
    <w:rsid w:val="00836B73"/>
    <w:rsid w:val="00A83FA0"/>
    <w:rsid w:val="00AD56CA"/>
    <w:rsid w:val="00B909A9"/>
    <w:rsid w:val="00C31176"/>
    <w:rsid w:val="00C84536"/>
    <w:rsid w:val="00D0746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1151</Characters>
  <Application>Microsoft Office Word</Application>
  <DocSecurity>0</DocSecurity>
  <Lines>9</Lines>
  <Paragraphs>2</Paragraphs>
  <ScaleCrop>false</ScaleCrop>
  <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2023-05-22T13:24:00Z</dcterms:created>
  <dcterms:modified xsi:type="dcterms:W3CDTF">2023-05-22T13:24:00Z</dcterms:modified>
</cp:coreProperties>
</file>