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DAEDB" w14:textId="77777777" w:rsidR="00666A5E" w:rsidRPr="00DE0F03" w:rsidRDefault="00666A5E" w:rsidP="00666A5E">
      <w:pPr>
        <w:pStyle w:val="Normalnumber"/>
        <w:keepLines/>
        <w:tabs>
          <w:tab w:val="clear" w:pos="1247"/>
          <w:tab w:val="clear" w:pos="1814"/>
          <w:tab w:val="clear" w:pos="2381"/>
          <w:tab w:val="clear" w:pos="2948"/>
          <w:tab w:val="clear" w:pos="3515"/>
          <w:tab w:val="clear" w:pos="4082"/>
        </w:tabs>
        <w:bidi/>
        <w:spacing w:after="100" w:line="32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ب-15/13</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تقديم تقارير الإبلاغ الوطنية</w:t>
      </w:r>
    </w:p>
    <w:p w14:paraId="32A9BFE8" w14:textId="77777777" w:rsidR="00666A5E" w:rsidRPr="00DE0F03" w:rsidRDefault="00666A5E" w:rsidP="00666A5E">
      <w:pPr>
        <w:pStyle w:val="Normal-pool"/>
        <w:keepLines/>
        <w:tabs>
          <w:tab w:val="clear" w:pos="1247"/>
          <w:tab w:val="clear" w:pos="1814"/>
          <w:tab w:val="clear" w:pos="2381"/>
          <w:tab w:val="clear" w:pos="2948"/>
          <w:tab w:val="clear" w:pos="3515"/>
        </w:tabs>
        <w:spacing w:after="100" w:line="32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3533F189" w14:textId="77777777" w:rsidR="00666A5E" w:rsidRPr="00DE0F03" w:rsidRDefault="00666A5E" w:rsidP="00666A5E">
      <w:pPr>
        <w:pStyle w:val="ListParagraph"/>
        <w:keepLines/>
        <w:numPr>
          <w:ilvl w:val="0"/>
          <w:numId w:val="22"/>
        </w:numPr>
        <w:tabs>
          <w:tab w:val="left" w:pos="2552"/>
        </w:tabs>
        <w:bidi/>
        <w:spacing w:after="100" w:line="32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يحيط علماً</w:t>
      </w:r>
      <w:r w:rsidRPr="00DE0F03">
        <w:rPr>
          <w:rFonts w:ascii="Times New Roman" w:eastAsia="Times New Roman" w:hAnsi="Times New Roman" w:cs="Simplified Arabic"/>
          <w:szCs w:val="24"/>
          <w:rtl/>
          <w:lang w:val="en-GB"/>
        </w:rPr>
        <w:t xml:space="preserve"> بما يلي:</w:t>
      </w:r>
    </w:p>
    <w:p w14:paraId="24C5EED6" w14:textId="77777777" w:rsidR="00666A5E" w:rsidRPr="00DE0F03" w:rsidRDefault="00666A5E" w:rsidP="00666A5E">
      <w:pPr>
        <w:pStyle w:val="Normal-pool"/>
        <w:keepLines/>
        <w:numPr>
          <w:ilvl w:val="0"/>
          <w:numId w:val="23"/>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نظام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الإبلاغ</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الإلكتروني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المحدث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التحكم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نقل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الخطرة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والتخلص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عبر</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الحدو</w:t>
      </w:r>
      <w:r w:rsidRPr="00DE0F03">
        <w:rPr>
          <w:rFonts w:ascii="Simplified Arabic" w:hAnsi="Simplified Arabic" w:cs="Simplified Arabic" w:hint="cs"/>
          <w:sz w:val="24"/>
          <w:szCs w:val="24"/>
        </w:rPr>
        <w:t>د</w:t>
      </w:r>
      <w:proofErr w:type="spellEnd"/>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1"/>
      </w:r>
      <w:r w:rsidRPr="00DE0F03">
        <w:rPr>
          <w:rFonts w:ascii="Simplified Arabic" w:hAnsi="Simplified Arabic" w:cs="Simplified Arabic" w:hint="cs"/>
          <w:sz w:val="24"/>
          <w:szCs w:val="24"/>
          <w:vertAlign w:val="superscript"/>
        </w:rPr>
        <w:t>)</w:t>
      </w:r>
      <w:bookmarkStart w:id="1" w:name="_Hlk106803656"/>
      <w:bookmarkStart w:id="2" w:name="_Hlk106791424"/>
      <w:r w:rsidRPr="00DE0F03">
        <w:rPr>
          <w:rFonts w:ascii="Simplified Arabic" w:hAnsi="Simplified Arabic" w:cs="Simplified Arabic" w:hint="cs"/>
          <w:sz w:val="24"/>
          <w:szCs w:val="24"/>
        </w:rPr>
        <w:t>؛</w:t>
      </w:r>
    </w:p>
    <w:p w14:paraId="586847F4" w14:textId="77777777" w:rsidR="00666A5E" w:rsidRPr="00DE0F03" w:rsidRDefault="00666A5E" w:rsidP="00666A5E">
      <w:pPr>
        <w:pStyle w:val="Normal-pool"/>
        <w:keepLines/>
        <w:numPr>
          <w:ilvl w:val="0"/>
          <w:numId w:val="23"/>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التوجيهات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قوائم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ومبيدات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الآفات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المتقادمة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وحاويات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مبيدات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الآفات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المحتوية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الليثيوم</w:t>
      </w:r>
      <w:proofErr w:type="spellEnd"/>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2"/>
      </w:r>
      <w:r w:rsidRPr="00DE0F03">
        <w:rPr>
          <w:rFonts w:ascii="Simplified Arabic" w:hAnsi="Simplified Arabic" w:cs="Simplified Arabic" w:hint="cs"/>
          <w:sz w:val="24"/>
          <w:szCs w:val="24"/>
          <w:vertAlign w:val="superscript"/>
        </w:rPr>
        <w:t>)</w:t>
      </w:r>
      <w:r w:rsidRPr="00DE0F03">
        <w:rPr>
          <w:rFonts w:ascii="Simplified Arabic" w:hAnsi="Simplified Arabic" w:cs="Simplified Arabic" w:hint="cs"/>
          <w:sz w:val="24"/>
          <w:szCs w:val="24"/>
        </w:rPr>
        <w:t>؛</w:t>
      </w:r>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والتوجيهات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المنقحة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قوائم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الرصاص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الحمضية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المستعملة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وزيوت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hint="cs"/>
          <w:sz w:val="24"/>
          <w:szCs w:val="24"/>
          <w:vertAlign w:val="superscript"/>
        </w:rPr>
        <w:t>(</w:t>
      </w:r>
      <w:bookmarkEnd w:id="1"/>
      <w:bookmarkEnd w:id="2"/>
      <w:r w:rsidRPr="00DE0F03">
        <w:rPr>
          <w:rStyle w:val="FootnoteReference"/>
          <w:rFonts w:ascii="Simplified Arabic" w:hAnsi="Simplified Arabic" w:cs="Simplified Arabic"/>
          <w:sz w:val="24"/>
          <w:szCs w:val="24"/>
        </w:rPr>
        <w:footnoteReference w:id="3"/>
      </w:r>
      <w:r w:rsidRPr="00DE0F03">
        <w:rPr>
          <w:rFonts w:ascii="Simplified Arabic" w:hAnsi="Simplified Arabic" w:cs="Simplified Arabic" w:hint="cs"/>
          <w:sz w:val="24"/>
          <w:szCs w:val="24"/>
          <w:vertAlign w:val="superscript"/>
        </w:rPr>
        <w:t>)</w:t>
      </w:r>
      <w:r w:rsidRPr="00DE0F03">
        <w:rPr>
          <w:rFonts w:ascii="Simplified Arabic" w:hAnsi="Simplified Arabic" w:cs="Simplified Arabic" w:hint="cs"/>
          <w:sz w:val="24"/>
          <w:szCs w:val="24"/>
        </w:rPr>
        <w:t>؛</w:t>
      </w:r>
    </w:p>
    <w:p w14:paraId="339D4F08" w14:textId="77777777" w:rsidR="00666A5E" w:rsidRPr="00DE0F03" w:rsidRDefault="00666A5E" w:rsidP="00666A5E">
      <w:pPr>
        <w:pStyle w:val="ListParagraph"/>
        <w:keepLines/>
        <w:numPr>
          <w:ilvl w:val="0"/>
          <w:numId w:val="22"/>
        </w:numPr>
        <w:tabs>
          <w:tab w:val="left" w:pos="2552"/>
        </w:tabs>
        <w:bidi/>
        <w:spacing w:after="100" w:line="32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يشجع</w:t>
      </w:r>
      <w:r w:rsidRPr="00DE0F03">
        <w:rPr>
          <w:rFonts w:ascii="Times New Roman" w:eastAsia="Times New Roman" w:hAnsi="Times New Roman" w:cs="Simplified Arabic"/>
          <w:szCs w:val="24"/>
          <w:rtl/>
          <w:lang w:val="en-GB"/>
        </w:rPr>
        <w:t xml:space="preserve"> الأطراف التي لم ترسل إلى الأمانة تقاريرها الوطنية لعام 2020 وللسنوات السابقة على أن تقوم بذلك في أقرب وقت ممكن؛</w:t>
      </w:r>
    </w:p>
    <w:p w14:paraId="34EDB542" w14:textId="77777777" w:rsidR="00666A5E" w:rsidRPr="00DE0F03" w:rsidRDefault="00666A5E" w:rsidP="00666A5E">
      <w:pPr>
        <w:pStyle w:val="ListParagraph"/>
        <w:keepLines/>
        <w:numPr>
          <w:ilvl w:val="0"/>
          <w:numId w:val="22"/>
        </w:numPr>
        <w:tabs>
          <w:tab w:val="left" w:pos="2552"/>
        </w:tabs>
        <w:bidi/>
        <w:spacing w:after="100" w:line="32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الأطراف إلى تضمين تقاريرها الوطنية معلومات عن توليد النفايات مرة كل أربع سنوات على الأقل؛</w:t>
      </w:r>
    </w:p>
    <w:p w14:paraId="1E4F662B" w14:textId="77777777" w:rsidR="00666A5E" w:rsidRPr="00DE0F03" w:rsidRDefault="00666A5E" w:rsidP="00666A5E">
      <w:pPr>
        <w:pStyle w:val="ListParagraph"/>
        <w:keepLines/>
        <w:numPr>
          <w:ilvl w:val="0"/>
          <w:numId w:val="22"/>
        </w:numPr>
        <w:tabs>
          <w:tab w:val="left" w:pos="2552"/>
        </w:tabs>
        <w:bidi/>
        <w:spacing w:after="100" w:line="320" w:lineRule="exact"/>
        <w:ind w:left="1134" w:firstLine="709"/>
        <w:contextualSpacing w:val="0"/>
        <w:jc w:val="both"/>
        <w:textDirection w:val="tbRlV"/>
        <w:rPr>
          <w:rFonts w:ascii="Times New Roman" w:eastAsia="Times New Roman" w:hAnsi="Times New Roman" w:cs="Simplified Arabic"/>
          <w:szCs w:val="24"/>
          <w:lang w:val="en-GB"/>
        </w:rPr>
      </w:pPr>
      <w:bookmarkStart w:id="4" w:name="_Hlk106791411"/>
      <w:r w:rsidRPr="00DE0F03">
        <w:rPr>
          <w:rFonts w:ascii="Times New Roman" w:eastAsia="Times New Roman" w:hAnsi="Times New Roman" w:cs="Simplified Arabic"/>
          <w:i/>
          <w:iCs/>
          <w:szCs w:val="24"/>
          <w:rtl/>
          <w:lang w:val="en-GB"/>
        </w:rPr>
        <w:t>يدعو</w:t>
      </w:r>
      <w:r w:rsidRPr="00DE0F03">
        <w:rPr>
          <w:rFonts w:ascii="Times New Roman" w:eastAsia="Times New Roman" w:hAnsi="Times New Roman" w:cs="Simplified Arabic"/>
          <w:szCs w:val="24"/>
          <w:rtl/>
          <w:lang w:val="en-GB"/>
        </w:rPr>
        <w:t xml:space="preserve"> الأطراف وغيرها من الجهات إلى استخدام التوجيهات العملية المشار إليها في الفقرة</w:t>
      </w:r>
      <w:r w:rsidRPr="00DE0F03">
        <w:rPr>
          <w:rFonts w:ascii="Times New Roman" w:eastAsia="Times New Roman" w:hAnsi="Times New Roman" w:cs="Simplified Arabic" w:hint="cs"/>
          <w:szCs w:val="24"/>
          <w:rtl/>
          <w:lang w:val="en-GB"/>
        </w:rPr>
        <w:t> </w:t>
      </w:r>
      <w:r w:rsidRPr="00DE0F03">
        <w:rPr>
          <w:rFonts w:ascii="Times New Roman" w:eastAsia="Times New Roman" w:hAnsi="Times New Roman" w:cs="Simplified Arabic"/>
          <w:szCs w:val="24"/>
          <w:rtl/>
          <w:lang w:val="en-GB"/>
        </w:rPr>
        <w:t>1</w:t>
      </w:r>
      <w:r w:rsidRPr="00DE0F03">
        <w:rPr>
          <w:rFonts w:ascii="Times New Roman" w:eastAsia="Times New Roman" w:hAnsi="Times New Roman" w:cs="Simplified Arabic" w:hint="cs"/>
          <w:szCs w:val="24"/>
          <w:rtl/>
          <w:lang w:val="en-GB"/>
        </w:rPr>
        <w:t> </w:t>
      </w:r>
      <w:r w:rsidRPr="00DE0F03">
        <w:rPr>
          <w:rFonts w:ascii="Times New Roman" w:eastAsia="Times New Roman" w:hAnsi="Times New Roman" w:cs="Simplified Arabic"/>
          <w:szCs w:val="24"/>
          <w:rtl/>
          <w:lang w:val="en-GB"/>
        </w:rPr>
        <w:t>(ب) من هذا المقرر وإبلاغ الأمانة عن تجربتها في القيام بذلك بحلول 31 كانون الأول/ديسمبر 2023؛</w:t>
      </w:r>
    </w:p>
    <w:bookmarkEnd w:id="4"/>
    <w:p w14:paraId="670F3425" w14:textId="77777777" w:rsidR="00666A5E" w:rsidRPr="00DE0F03" w:rsidRDefault="00666A5E" w:rsidP="00666A5E">
      <w:pPr>
        <w:pStyle w:val="ListParagraph"/>
        <w:keepLines/>
        <w:numPr>
          <w:ilvl w:val="0"/>
          <w:numId w:val="22"/>
        </w:numPr>
        <w:tabs>
          <w:tab w:val="left" w:pos="2552"/>
        </w:tabs>
        <w:bidi/>
        <w:spacing w:after="100" w:line="32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يطلب</w:t>
      </w:r>
      <w:r w:rsidRPr="00DE0F03">
        <w:rPr>
          <w:rFonts w:ascii="Times New Roman" w:eastAsia="Times New Roman" w:hAnsi="Times New Roman" w:cs="Simplified Arabic"/>
          <w:szCs w:val="24"/>
          <w:rtl/>
          <w:lang w:val="en-GB"/>
        </w:rPr>
        <w:t xml:space="preserve"> إلى الأمانة:</w:t>
      </w:r>
    </w:p>
    <w:p w14:paraId="4D5055F1" w14:textId="77777777" w:rsidR="00666A5E" w:rsidRPr="00DE0F03" w:rsidRDefault="00666A5E" w:rsidP="00666A5E">
      <w:pPr>
        <w:pStyle w:val="Normal-pool"/>
        <w:keepLines/>
        <w:numPr>
          <w:ilvl w:val="0"/>
          <w:numId w:val="24"/>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تواصل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تطوير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نظام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الإبلاغ</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الإلكتروني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تدعم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استخدامه</w:t>
      </w:r>
      <w:proofErr w:type="spellEnd"/>
      <w:r w:rsidRPr="00DE0F03">
        <w:rPr>
          <w:rFonts w:ascii="Simplified Arabic" w:hAnsi="Simplified Arabic" w:cs="Simplified Arabic"/>
          <w:sz w:val="24"/>
          <w:szCs w:val="24"/>
        </w:rPr>
        <w:t>؛</w:t>
      </w:r>
      <w:proofErr w:type="gramEnd"/>
    </w:p>
    <w:p w14:paraId="1DFDEAF9" w14:textId="77777777" w:rsidR="00666A5E" w:rsidRPr="00DE0F03" w:rsidRDefault="00666A5E" w:rsidP="00666A5E">
      <w:pPr>
        <w:pStyle w:val="Normal-pool"/>
        <w:keepLines/>
        <w:numPr>
          <w:ilvl w:val="0"/>
          <w:numId w:val="24"/>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تواصل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أيضاً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تطوير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توجيهات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قوائم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لمسارات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تعتبر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ذات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أولوية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متوسطة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وفقاً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للمقرر</w:t>
      </w:r>
      <w:proofErr w:type="spellEnd"/>
      <w:r w:rsidRPr="00DE0F03">
        <w:rPr>
          <w:rFonts w:ascii="Simplified Arabic" w:hAnsi="Simplified Arabic" w:cs="Simplified Arabic"/>
          <w:sz w:val="24"/>
          <w:szCs w:val="24"/>
        </w:rPr>
        <w:t xml:space="preserve"> ا ب-14/10، </w:t>
      </w:r>
      <w:proofErr w:type="spellStart"/>
      <w:r w:rsidRPr="00DE0F03">
        <w:rPr>
          <w:rFonts w:ascii="Simplified Arabic" w:hAnsi="Simplified Arabic" w:cs="Simplified Arabic"/>
          <w:sz w:val="24"/>
          <w:szCs w:val="24"/>
        </w:rPr>
        <w:t>لكي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roofErr w:type="gramEnd"/>
    </w:p>
    <w:p w14:paraId="312C25EE" w14:textId="77777777" w:rsidR="00666A5E" w:rsidRPr="00DE0F03" w:rsidRDefault="00666A5E" w:rsidP="00666A5E">
      <w:pPr>
        <w:pStyle w:val="Normal-pool"/>
        <w:keepLines/>
        <w:numPr>
          <w:ilvl w:val="0"/>
          <w:numId w:val="24"/>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تتيح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باللغات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الرسمية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للأمم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قوائم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ومبيدات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الآفات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القديمة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حاويات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مبيدات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الآفات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المحتوية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الليثيوم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1 (ب)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استخدامها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جانب</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w:t>
      </w:r>
      <w:bookmarkStart w:id="5" w:name="_Hlk533166062"/>
      <w:proofErr w:type="gramEnd"/>
    </w:p>
    <w:p w14:paraId="05B7DC47" w14:textId="77777777" w:rsidR="00666A5E" w:rsidRPr="00DE0F03" w:rsidRDefault="00666A5E" w:rsidP="00666A5E">
      <w:pPr>
        <w:pStyle w:val="Normal-pool"/>
        <w:keepLines/>
        <w:numPr>
          <w:ilvl w:val="0"/>
          <w:numId w:val="24"/>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بتوفر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مشاريع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تجريبية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لاختبار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قوائم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ومبيدات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الآفات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القديمة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حاويات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مبيدات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الآفات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البطاريات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المحتوية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الليثيوم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بناءً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نتائج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المشاريع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والتعليقات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الواردة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والمراقبين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تجاربهم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توجيهات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منقحة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لكي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السابع</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roofErr w:type="gramEnd"/>
    </w:p>
    <w:p w14:paraId="798A47D6" w14:textId="77777777" w:rsidR="00666A5E" w:rsidRPr="00DE0F03" w:rsidRDefault="00666A5E" w:rsidP="00666A5E">
      <w:pPr>
        <w:pStyle w:val="Normal-pool"/>
        <w:keepLines/>
        <w:numPr>
          <w:ilvl w:val="0"/>
          <w:numId w:val="24"/>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w w:val="95"/>
          <w:sz w:val="24"/>
          <w:szCs w:val="24"/>
          <w:rtl/>
          <w:lang w:val="ar-SA" w:eastAsia="zh-TW" w:bidi="en-GB"/>
        </w:rPr>
      </w:pPr>
      <w:proofErr w:type="spellStart"/>
      <w:r w:rsidRPr="00DE0F03">
        <w:rPr>
          <w:rFonts w:ascii="Simplified Arabic" w:hAnsi="Simplified Arabic" w:cs="Simplified Arabic"/>
          <w:w w:val="95"/>
          <w:sz w:val="24"/>
          <w:szCs w:val="24"/>
        </w:rPr>
        <w:t>أن</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تنشر</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على</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نطاق</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واسع</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رهناً</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بتوفر</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الموارد</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التقرير</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الصادر</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تحت</w:t>
      </w:r>
      <w:proofErr w:type="spellEnd"/>
      <w:r w:rsidRPr="00DE0F03">
        <w:rPr>
          <w:rFonts w:ascii="Simplified Arabic" w:hAnsi="Simplified Arabic" w:cs="Simplified Arabic"/>
          <w:w w:val="95"/>
          <w:sz w:val="24"/>
          <w:szCs w:val="24"/>
        </w:rPr>
        <w:t xml:space="preserve"> </w:t>
      </w:r>
      <w:proofErr w:type="spellStart"/>
      <w:proofErr w:type="gramStart"/>
      <w:r w:rsidRPr="00DE0F03">
        <w:rPr>
          <w:rFonts w:ascii="Simplified Arabic" w:hAnsi="Simplified Arabic" w:cs="Simplified Arabic"/>
          <w:w w:val="95"/>
          <w:sz w:val="24"/>
          <w:szCs w:val="24"/>
        </w:rPr>
        <w:t>عنوان</w:t>
      </w:r>
      <w:proofErr w:type="spellEnd"/>
      <w:r w:rsidRPr="00DE0F03">
        <w:rPr>
          <w:rFonts w:ascii="Simplified Arabic" w:hAnsi="Simplified Arabic" w:cs="Simplified Arabic"/>
          <w:w w:val="95"/>
          <w:sz w:val="24"/>
          <w:szCs w:val="24"/>
        </w:rPr>
        <w:t xml:space="preserve"> </w:t>
      </w:r>
      <w:r w:rsidRPr="00DE0F03">
        <w:rPr>
          <w:rFonts w:ascii="Simplified Arabic" w:hAnsi="Simplified Arabic" w:cs="Simplified Arabic" w:hint="cs"/>
          <w:w w:val="95"/>
          <w:sz w:val="24"/>
          <w:szCs w:val="24"/>
        </w:rPr>
        <w:t>”</w:t>
      </w:r>
      <w:proofErr w:type="spellStart"/>
      <w:r w:rsidRPr="00DE0F03">
        <w:rPr>
          <w:rFonts w:ascii="Simplified Arabic" w:hAnsi="Simplified Arabic" w:cs="Simplified Arabic"/>
          <w:w w:val="95"/>
          <w:sz w:val="24"/>
          <w:szCs w:val="24"/>
        </w:rPr>
        <w:t>نفايات</w:t>
      </w:r>
      <w:proofErr w:type="spellEnd"/>
      <w:proofErr w:type="gram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بلا</w:t>
      </w:r>
      <w:proofErr w:type="spellEnd"/>
      <w:r w:rsidRPr="00DE0F03">
        <w:rPr>
          <w:rFonts w:ascii="Simplified Arabic" w:hAnsi="Simplified Arabic" w:cs="Simplified Arabic"/>
          <w:w w:val="95"/>
          <w:sz w:val="24"/>
          <w:szCs w:val="24"/>
        </w:rPr>
        <w:t xml:space="preserve"> </w:t>
      </w:r>
      <w:proofErr w:type="spellStart"/>
      <w:r w:rsidRPr="00DE0F03">
        <w:rPr>
          <w:rFonts w:ascii="Simplified Arabic" w:hAnsi="Simplified Arabic" w:cs="Simplified Arabic"/>
          <w:w w:val="95"/>
          <w:sz w:val="24"/>
          <w:szCs w:val="24"/>
        </w:rPr>
        <w:t>حدود</w:t>
      </w:r>
      <w:proofErr w:type="spellEnd"/>
      <w:r w:rsidRPr="00DE0F03">
        <w:rPr>
          <w:rFonts w:ascii="Simplified Arabic" w:hAnsi="Simplified Arabic" w:cs="Simplified Arabic"/>
          <w:w w:val="95"/>
          <w:sz w:val="24"/>
          <w:szCs w:val="24"/>
        </w:rPr>
        <w:t xml:space="preserve"> 2</w:t>
      </w:r>
      <w:r w:rsidRPr="00DE0F03">
        <w:rPr>
          <w:rFonts w:ascii="Simplified Arabic" w:hAnsi="Simplified Arabic" w:cs="Simplified Arabic" w:hint="cs"/>
          <w:w w:val="95"/>
          <w:sz w:val="24"/>
          <w:szCs w:val="24"/>
        </w:rPr>
        <w:t>“</w:t>
      </w:r>
      <w:r w:rsidRPr="00DE0F03">
        <w:rPr>
          <w:rFonts w:ascii="Simplified Arabic" w:hAnsi="Simplified Arabic" w:cs="Simplified Arabic" w:hint="cs"/>
          <w:w w:val="95"/>
          <w:sz w:val="24"/>
          <w:szCs w:val="24"/>
          <w:vertAlign w:val="superscript"/>
        </w:rPr>
        <w:t>(</w:t>
      </w:r>
      <w:r w:rsidRPr="00DE0F03">
        <w:rPr>
          <w:rStyle w:val="FootnoteReference"/>
          <w:rFonts w:ascii="Simplified Arabic" w:hAnsi="Simplified Arabic" w:cs="Simplified Arabic"/>
          <w:w w:val="95"/>
          <w:sz w:val="24"/>
          <w:szCs w:val="24"/>
        </w:rPr>
        <w:footnoteReference w:id="4"/>
      </w:r>
      <w:r w:rsidRPr="00DE0F03">
        <w:rPr>
          <w:rFonts w:ascii="Simplified Arabic" w:hAnsi="Simplified Arabic" w:cs="Simplified Arabic" w:hint="cs"/>
          <w:w w:val="95"/>
          <w:sz w:val="24"/>
          <w:szCs w:val="24"/>
          <w:vertAlign w:val="superscript"/>
        </w:rPr>
        <w:t>)</w:t>
      </w:r>
      <w:r w:rsidRPr="00DE0F03">
        <w:rPr>
          <w:rFonts w:ascii="Simplified Arabic" w:hAnsi="Simplified Arabic" w:cs="Simplified Arabic" w:hint="cs"/>
          <w:w w:val="95"/>
          <w:sz w:val="24"/>
          <w:szCs w:val="24"/>
        </w:rPr>
        <w:t>؛</w:t>
      </w:r>
    </w:p>
    <w:p w14:paraId="48F2D7D9" w14:textId="77777777" w:rsidR="00666A5E" w:rsidRPr="00DE0F03" w:rsidRDefault="00666A5E" w:rsidP="00666A5E">
      <w:pPr>
        <w:pStyle w:val="Normal-pool"/>
        <w:keepLines/>
        <w:numPr>
          <w:ilvl w:val="0"/>
          <w:numId w:val="24"/>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lastRenderedPageBreak/>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تواصل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توفير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التدريب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حدود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المتاحة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النامية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وغيرها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تحتاج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للوفاء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بالتزاماتها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مجال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الإبلاغ</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المراكز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الإقليمية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والتنسيقية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التابعة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لاتفاقية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بازل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تعطي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الأولوية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قيامها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بذلك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لبناء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قدرات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قوائم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جرد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وطنية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وتشريعات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وطنية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متزامنة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أجل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الاستفادة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النهج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تتبعه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آلية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تعزيز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والامتثال</w:t>
      </w:r>
      <w:proofErr w:type="spellEnd"/>
      <w:r w:rsidRPr="00DE0F03">
        <w:rPr>
          <w:rFonts w:ascii="Simplified Arabic" w:hAnsi="Simplified Arabic" w:cs="Simplified Arabic" w:hint="cs"/>
          <w:sz w:val="24"/>
          <w:szCs w:val="24"/>
          <w:vertAlign w:val="superscript"/>
        </w:rPr>
        <w:t>(</w:t>
      </w:r>
      <w:proofErr w:type="gramEnd"/>
      <w:r w:rsidRPr="00DE0F03">
        <w:rPr>
          <w:rStyle w:val="FootnoteReference"/>
          <w:rFonts w:ascii="Simplified Arabic" w:hAnsi="Simplified Arabic" w:cs="Simplified Arabic"/>
          <w:sz w:val="24"/>
          <w:szCs w:val="24"/>
        </w:rPr>
        <w:footnoteReference w:id="5"/>
      </w:r>
      <w:r w:rsidRPr="00DE0F03">
        <w:rPr>
          <w:rFonts w:ascii="Simplified Arabic" w:hAnsi="Simplified Arabic" w:cs="Simplified Arabic" w:hint="cs"/>
          <w:sz w:val="24"/>
          <w:szCs w:val="24"/>
          <w:vertAlign w:val="superscript"/>
        </w:rPr>
        <w:t>)</w:t>
      </w:r>
      <w:bookmarkEnd w:id="5"/>
      <w:r w:rsidRPr="00DE0F03">
        <w:rPr>
          <w:rFonts w:ascii="Simplified Arabic" w:hAnsi="Simplified Arabic" w:cs="Simplified Arabic" w:hint="cs"/>
          <w:sz w:val="24"/>
          <w:szCs w:val="24"/>
        </w:rPr>
        <w:t>؛</w:t>
      </w:r>
    </w:p>
    <w:p w14:paraId="274F8A75" w14:textId="77777777" w:rsidR="00666A5E" w:rsidRPr="00DE0F03" w:rsidRDefault="00666A5E" w:rsidP="00666A5E">
      <w:pPr>
        <w:pStyle w:val="Normal-pool"/>
        <w:keepLines/>
        <w:numPr>
          <w:ilvl w:val="0"/>
          <w:numId w:val="24"/>
        </w:numPr>
        <w:tabs>
          <w:tab w:val="clear" w:pos="1247"/>
          <w:tab w:val="clear" w:pos="1814"/>
          <w:tab w:val="clear" w:pos="2381"/>
          <w:tab w:val="clear" w:pos="2948"/>
          <w:tab w:val="clear" w:pos="3515"/>
          <w:tab w:val="left" w:pos="2552"/>
        </w:tabs>
        <w:spacing w:after="100" w:line="32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تقريراً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
    <w:p w14:paraId="16638634" w14:textId="59D1B4E7" w:rsidR="00F935A6" w:rsidRPr="00666A5E" w:rsidRDefault="00F935A6" w:rsidP="00666A5E">
      <w:pPr>
        <w:pStyle w:val="Normal-pool"/>
      </w:pPr>
    </w:p>
    <w:sectPr w:rsidR="00F935A6" w:rsidRPr="00666A5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1B8CB" w14:textId="77777777" w:rsidR="00661CC2" w:rsidRDefault="00661CC2" w:rsidP="009F75FF">
      <w:r>
        <w:separator/>
      </w:r>
    </w:p>
  </w:endnote>
  <w:endnote w:type="continuationSeparator" w:id="0">
    <w:p w14:paraId="455F6C63" w14:textId="77777777" w:rsidR="00661CC2" w:rsidRDefault="00661CC2"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C7359" w14:textId="77777777" w:rsidR="00661CC2" w:rsidRDefault="00661CC2" w:rsidP="009F75FF">
      <w:r>
        <w:separator/>
      </w:r>
    </w:p>
  </w:footnote>
  <w:footnote w:type="continuationSeparator" w:id="0">
    <w:p w14:paraId="1CCE1873" w14:textId="77777777" w:rsidR="00661CC2" w:rsidRDefault="00661CC2" w:rsidP="009F75FF">
      <w:r>
        <w:continuationSeparator/>
      </w:r>
    </w:p>
  </w:footnote>
  <w:footnote w:id="1">
    <w:p w14:paraId="00FFB86F" w14:textId="77777777" w:rsidR="00666A5E" w:rsidRPr="00A32BDD" w:rsidRDefault="00666A5E" w:rsidP="00666A5E">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1" w:history="1">
        <w:r w:rsidRPr="00A32BDD">
          <w:rPr>
            <w:rStyle w:val="Hyperlink"/>
            <w:rFonts w:asciiTheme="majorBidi" w:hAnsiTheme="majorBidi" w:cstheme="majorBidi"/>
            <w:sz w:val="18"/>
            <w:szCs w:val="18"/>
          </w:rPr>
          <w:t>www.basel.int/Countries/NationalReporting/tabid/3356/Default.aspx</w:t>
        </w:r>
      </w:hyperlink>
      <w:r w:rsidRPr="00A32BDD">
        <w:rPr>
          <w:rFonts w:ascii="Simplified Arabic" w:hAnsi="Simplified Arabic" w:hint="cs"/>
          <w:rtl/>
        </w:rPr>
        <w:t>.</w:t>
      </w:r>
    </w:p>
    <w:bookmarkStart w:id="0" w:name="_Hlk106803639"/>
    <w:bookmarkEnd w:id="0"/>
  </w:footnote>
  <w:footnote w:id="2">
    <w:p w14:paraId="6D532960" w14:textId="77777777" w:rsidR="00666A5E" w:rsidRPr="00A32BDD" w:rsidRDefault="00666A5E" w:rsidP="00666A5E">
      <w:pPr>
        <w:pStyle w:val="FootnoteText"/>
        <w:spacing w:after="40" w:line="280" w:lineRule="exact"/>
        <w:ind w:left="1134"/>
        <w:jc w:val="both"/>
        <w:rPr>
          <w:rFonts w:ascii="Simplified Arabic" w:hAnsi="Simplified Arabic"/>
          <w:lang w:bidi="ar-EG"/>
        </w:rPr>
      </w:pPr>
      <w:bookmarkStart w:id="3" w:name="_Hlk106803639"/>
      <w:bookmarkEnd w:id="3"/>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17351B">
        <w:rPr>
          <w:sz w:val="18"/>
          <w:szCs w:val="18"/>
        </w:rPr>
        <w:t>UNEP/CHW.15/INF/19/Rev.1</w:t>
      </w:r>
      <w:r w:rsidRPr="00A32BDD">
        <w:rPr>
          <w:rFonts w:ascii="Simplified Arabic" w:hAnsi="Simplified Arabic" w:hint="cs"/>
          <w:rtl/>
        </w:rPr>
        <w:t>، و</w:t>
      </w:r>
      <w:r w:rsidRPr="002A6C88">
        <w:rPr>
          <w:sz w:val="18"/>
          <w:szCs w:val="18"/>
        </w:rPr>
        <w:t xml:space="preserve"> </w:t>
      </w:r>
      <w:r w:rsidRPr="0017351B">
        <w:rPr>
          <w:sz w:val="18"/>
          <w:szCs w:val="18"/>
        </w:rPr>
        <w:t>UNEP/CHW.15/INF/50/Rev.1</w:t>
      </w:r>
      <w:r w:rsidRPr="00A32BDD">
        <w:rPr>
          <w:rFonts w:ascii="Simplified Arabic" w:hAnsi="Simplified Arabic" w:hint="cs"/>
          <w:rtl/>
        </w:rPr>
        <w:t>، و</w:t>
      </w:r>
      <w:r w:rsidRPr="0017351B">
        <w:rPr>
          <w:sz w:val="18"/>
          <w:szCs w:val="18"/>
        </w:rPr>
        <w:t>UNEP/CHW.15/INF/51/Rev.1</w:t>
      </w:r>
      <w:r w:rsidRPr="00A32BDD">
        <w:rPr>
          <w:rFonts w:ascii="Simplified Arabic" w:hAnsi="Simplified Arabic" w:hint="cs"/>
          <w:rtl/>
        </w:rPr>
        <w:t>.</w:t>
      </w:r>
    </w:p>
  </w:footnote>
  <w:footnote w:id="3">
    <w:p w14:paraId="2A674AC7" w14:textId="77777777" w:rsidR="00666A5E" w:rsidRPr="00A32BDD" w:rsidRDefault="00666A5E" w:rsidP="00666A5E">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UNEP/CHW.15/INF/61</w:t>
      </w:r>
      <w:r w:rsidRPr="00A32BDD">
        <w:rPr>
          <w:rFonts w:ascii="Simplified Arabic" w:hAnsi="Simplified Arabic" w:hint="cs"/>
          <w:rtl/>
        </w:rPr>
        <w:t>.</w:t>
      </w:r>
    </w:p>
  </w:footnote>
  <w:footnote w:id="4">
    <w:p w14:paraId="57AC7FE5" w14:textId="77777777" w:rsidR="00666A5E" w:rsidRPr="00A32BDD" w:rsidRDefault="00666A5E" w:rsidP="00666A5E">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2" w:history="1">
        <w:r w:rsidRPr="00A32BDD">
          <w:rPr>
            <w:rStyle w:val="Hyperlink"/>
            <w:rFonts w:asciiTheme="majorBidi" w:hAnsiTheme="majorBidi" w:cstheme="majorBidi"/>
            <w:sz w:val="18"/>
            <w:szCs w:val="18"/>
          </w:rPr>
          <w:t>www.basel.int/Implementation/Publications/Other/tabid/2470/Default.aspx</w:t>
        </w:r>
      </w:hyperlink>
      <w:r w:rsidRPr="00A32BDD">
        <w:rPr>
          <w:rFonts w:ascii="Simplified Arabic" w:hAnsi="Simplified Arabic" w:hint="cs"/>
          <w:rtl/>
        </w:rPr>
        <w:t>.</w:t>
      </w:r>
    </w:p>
  </w:footnote>
  <w:footnote w:id="5">
    <w:p w14:paraId="0FB35899" w14:textId="77777777" w:rsidR="00666A5E" w:rsidRPr="00A32BDD" w:rsidRDefault="00666A5E" w:rsidP="00666A5E">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3" w:history="1">
        <w:r w:rsidRPr="00A32BDD">
          <w:rPr>
            <w:rStyle w:val="Hyperlink"/>
            <w:rFonts w:asciiTheme="majorBidi" w:hAnsiTheme="majorBidi" w:cstheme="majorBidi"/>
            <w:w w:val="99"/>
            <w:sz w:val="18"/>
            <w:szCs w:val="18"/>
          </w:rPr>
          <w:t>www.basel.int/Implementation/LegalMatters/Compliance/SpecificSubmissionsActivities/Currentsubmissions/</w:t>
        </w:r>
        <w:r w:rsidRPr="00A32BDD">
          <w:rPr>
            <w:rStyle w:val="Hyperlink"/>
            <w:rFonts w:asciiTheme="majorBidi" w:hAnsiTheme="majorBidi" w:cstheme="majorBidi"/>
            <w:w w:val="99"/>
            <w:sz w:val="18"/>
            <w:szCs w:val="18"/>
            <w:rtl/>
          </w:rPr>
          <w:br/>
        </w:r>
        <w:r w:rsidRPr="00A32BDD">
          <w:rPr>
            <w:rStyle w:val="Hyperlink"/>
            <w:rFonts w:asciiTheme="majorBidi" w:hAnsiTheme="majorBidi" w:cstheme="majorBidi"/>
            <w:w w:val="99"/>
            <w:sz w:val="18"/>
            <w:szCs w:val="18"/>
          </w:rPr>
          <w:t>tabid/2310/Default.aspx</w:t>
        </w:r>
      </w:hyperlink>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8806E7D"/>
    <w:multiLevelType w:val="hybridMultilevel"/>
    <w:tmpl w:val="8000EA6C"/>
    <w:lvl w:ilvl="0" w:tplc="EE2E144A">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1E2A108"/>
    <w:lvl w:ilvl="0" w:tplc="3F364A5C">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19233B1"/>
    <w:multiLevelType w:val="hybridMultilevel"/>
    <w:tmpl w:val="AB78C70E"/>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9"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11"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434F1E"/>
    <w:multiLevelType w:val="hybridMultilevel"/>
    <w:tmpl w:val="E33CFA4C"/>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4"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6" w15:restartNumberingAfterBreak="0">
    <w:nsid w:val="6F304558"/>
    <w:multiLevelType w:val="hybridMultilevel"/>
    <w:tmpl w:val="A7B8D11C"/>
    <w:lvl w:ilvl="0" w:tplc="E8B88EFA">
      <w:start w:val="1"/>
      <w:numFmt w:val="decimal"/>
      <w:lvlText w:val="%1-"/>
      <w:lvlJc w:val="left"/>
      <w:pPr>
        <w:ind w:left="2381" w:hanging="51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7"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8"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9"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1" w15:restartNumberingAfterBreak="0">
    <w:nsid w:val="78064C1D"/>
    <w:multiLevelType w:val="hybridMultilevel"/>
    <w:tmpl w:val="8702E2DA"/>
    <w:lvl w:ilvl="0" w:tplc="DB9ED978">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2" w15:restartNumberingAfterBreak="0">
    <w:nsid w:val="7A502D4E"/>
    <w:multiLevelType w:val="hybridMultilevel"/>
    <w:tmpl w:val="95F42D42"/>
    <w:lvl w:ilvl="0" w:tplc="C698289E">
      <w:start w:val="1"/>
      <w:numFmt w:val="arabicAbjad"/>
      <w:lvlText w:val="(%1)"/>
      <w:lvlJc w:val="left"/>
      <w:pPr>
        <w:ind w:left="2381" w:hanging="510"/>
      </w:pPr>
      <w:rPr>
        <w:rFonts w:hint="default"/>
        <w:color w:val="auto"/>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3"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7347912">
    <w:abstractNumId w:val="10"/>
  </w:num>
  <w:num w:numId="2" w16cid:durableId="1400636790">
    <w:abstractNumId w:val="4"/>
  </w:num>
  <w:num w:numId="3" w16cid:durableId="915284139">
    <w:abstractNumId w:val="11"/>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12"/>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23"/>
  </w:num>
  <w:num w:numId="7" w16cid:durableId="502823058">
    <w:abstractNumId w:val="2"/>
  </w:num>
  <w:num w:numId="8" w16cid:durableId="1579246298">
    <w:abstractNumId w:val="1"/>
  </w:num>
  <w:num w:numId="9" w16cid:durableId="478890557">
    <w:abstractNumId w:val="18"/>
  </w:num>
  <w:num w:numId="10" w16cid:durableId="1312324699">
    <w:abstractNumId w:val="20"/>
  </w:num>
  <w:num w:numId="11" w16cid:durableId="1970554629">
    <w:abstractNumId w:val="6"/>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15"/>
  </w:num>
  <w:num w:numId="13" w16cid:durableId="1903322055">
    <w:abstractNumId w:val="19"/>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17"/>
  </w:num>
  <w:num w:numId="15" w16cid:durableId="834880194">
    <w:abstractNumId w:val="3"/>
  </w:num>
  <w:num w:numId="16" w16cid:durableId="23750687">
    <w:abstractNumId w:val="14"/>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9"/>
  </w:num>
  <w:num w:numId="18" w16cid:durableId="1668435544">
    <w:abstractNumId w:val="7"/>
    <w:lvlOverride w:ilvl="0">
      <w:lvl w:ilvl="0" w:tplc="3F364A5C">
        <w:start w:val="1"/>
        <w:numFmt w:val="decimal"/>
        <w:lvlText w:val="%1-"/>
        <w:lvlJc w:val="left"/>
        <w:pPr>
          <w:ind w:left="1967" w:hanging="360"/>
        </w:pPr>
        <w:rPr>
          <w:rFonts w:ascii="Simplified Arabic" w:eastAsia="Arial" w:hAnsi="Simplified Arabic" w:cs="Simplified Arabic"/>
          <w:i w:val="0"/>
        </w:rPr>
      </w:lvl>
    </w:lvlOverride>
  </w:num>
  <w:num w:numId="19" w16cid:durableId="1570573042">
    <w:abstractNumId w:val="16"/>
  </w:num>
  <w:num w:numId="20" w16cid:durableId="1819415708">
    <w:abstractNumId w:val="5"/>
    <w:lvlOverride w:ilvl="0">
      <w:lvl w:ilvl="0" w:tplc="EE2E144A">
        <w:start w:val="1"/>
        <w:numFmt w:val="decimal"/>
        <w:lvlText w:val="%1-"/>
        <w:lvlJc w:val="left"/>
        <w:pPr>
          <w:ind w:left="3215" w:hanging="360"/>
        </w:pPr>
        <w:rPr>
          <w:rFonts w:ascii="Simplified Arabic" w:eastAsia="Times New Roman" w:hAnsi="Simplified Arabic" w:cs="Simplified Arabic"/>
          <w:i w:val="0"/>
          <w:iCs w:val="0"/>
        </w:rPr>
      </w:lvl>
    </w:lvlOverride>
  </w:num>
  <w:num w:numId="21" w16cid:durableId="1612469246">
    <w:abstractNumId w:val="22"/>
  </w:num>
  <w:num w:numId="22" w16cid:durableId="299388834">
    <w:abstractNumId w:val="21"/>
  </w:num>
  <w:num w:numId="23" w16cid:durableId="1214735642">
    <w:abstractNumId w:val="13"/>
  </w:num>
  <w:num w:numId="24" w16cid:durableId="15141494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226B6C"/>
    <w:rsid w:val="00265A88"/>
    <w:rsid w:val="00286115"/>
    <w:rsid w:val="00661CC2"/>
    <w:rsid w:val="00666A5E"/>
    <w:rsid w:val="00742414"/>
    <w:rsid w:val="007469E9"/>
    <w:rsid w:val="00836B73"/>
    <w:rsid w:val="00976B44"/>
    <w:rsid w:val="009F75FF"/>
    <w:rsid w:val="00B90411"/>
    <w:rsid w:val="00C52BEE"/>
    <w:rsid w:val="00C84536"/>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 w:type="paragraph" w:customStyle="1" w:styleId="NormalNonumber">
    <w:name w:val="Normal_No_number"/>
    <w:basedOn w:val="Normal"/>
    <w:link w:val="NormalNonumberChar"/>
    <w:qFormat/>
    <w:rsid w:val="00B90411"/>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character" w:customStyle="1" w:styleId="NormalNonumberChar">
    <w:name w:val="Normal_No_number Char"/>
    <w:link w:val="NormalNonumber"/>
    <w:locked/>
    <w:rsid w:val="00B9041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Implementation/LegalMatters/Compliance/SpecificSubmissionsActivities/Currentsubmissions/tabid/2310/Default.aspx" TargetMode="External"/><Relationship Id="rId2" Type="http://schemas.openxmlformats.org/officeDocument/2006/relationships/hyperlink" Target="http://www.basel.int/Implementation/Publications/Other/tabid/2470/Default.aspx" TargetMode="External"/><Relationship Id="rId1" Type="http://schemas.openxmlformats.org/officeDocument/2006/relationships/hyperlink" Target="http://www.basel.int/Countries/NationalReporting/tabid/335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354</Words>
  <Characters>2019</Characters>
  <Application>Microsoft Office Word</Application>
  <DocSecurity>0</DocSecurity>
  <Lines>16</Lines>
  <Paragraphs>4</Paragraphs>
  <ScaleCrop>false</ScaleCrop>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2023-04-27T09:41:00Z</dcterms:created>
  <dcterms:modified xsi:type="dcterms:W3CDTF">2023-04-27T09:41:00Z</dcterms:modified>
</cp:coreProperties>
</file>