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9EAFB" w14:textId="77777777" w:rsidR="006279A8" w:rsidRPr="002A632F" w:rsidRDefault="006279A8" w:rsidP="006279A8">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866584">
        <w:rPr>
          <w:rFonts w:eastAsia="SimHei"/>
          <w:bCs/>
          <w:sz w:val="32"/>
          <w:szCs w:val="32"/>
          <w:lang w:val="zh-CN" w:eastAsia="zh-CN"/>
        </w:rPr>
        <w:tab/>
        <w:t>BC-15/13</w:t>
      </w:r>
      <w:r w:rsidRPr="00866584">
        <w:rPr>
          <w:rFonts w:eastAsia="SimHei"/>
          <w:bCs/>
          <w:sz w:val="32"/>
          <w:szCs w:val="32"/>
          <w:lang w:val="zh-CN" w:eastAsia="zh-CN"/>
        </w:rPr>
        <w:t>：国家报告</w:t>
      </w:r>
    </w:p>
    <w:p w14:paraId="1B4894AC" w14:textId="77777777" w:rsidR="006279A8" w:rsidRPr="00866584" w:rsidRDefault="006279A8" w:rsidP="006279A8">
      <w:pPr>
        <w:pStyle w:val="Normal-pool"/>
        <w:tabs>
          <w:tab w:val="clear" w:pos="1247"/>
          <w:tab w:val="clear" w:pos="1814"/>
        </w:tabs>
        <w:spacing w:after="120"/>
        <w:ind w:left="1247" w:firstLine="624"/>
        <w:jc w:val="both"/>
        <w:rPr>
          <w:rFonts w:ascii="KaiTi" w:eastAsia="KaiTi" w:hAnsi="KaiTi"/>
          <w:i/>
          <w:iCs/>
          <w:sz w:val="24"/>
          <w:szCs w:val="24"/>
          <w:lang w:eastAsia="zh-CN"/>
        </w:rPr>
      </w:pPr>
      <w:r w:rsidRPr="00866584">
        <w:rPr>
          <w:rFonts w:ascii="KaiTi" w:eastAsia="KaiTi" w:hAnsi="KaiTi"/>
          <w:sz w:val="24"/>
          <w:szCs w:val="24"/>
          <w:lang w:val="zh-CN" w:eastAsia="zh-CN"/>
        </w:rPr>
        <w:t>缔约方大会，</w:t>
      </w:r>
    </w:p>
    <w:p w14:paraId="4A7C5D21" w14:textId="77777777" w:rsidR="006279A8" w:rsidRPr="00866584" w:rsidRDefault="006279A8" w:rsidP="006279A8">
      <w:pPr>
        <w:pStyle w:val="Normal-pool"/>
        <w:numPr>
          <w:ilvl w:val="0"/>
          <w:numId w:val="21"/>
        </w:numPr>
        <w:tabs>
          <w:tab w:val="clear" w:pos="1247"/>
          <w:tab w:val="clear" w:pos="1814"/>
        </w:tabs>
        <w:spacing w:after="120"/>
        <w:ind w:left="1247" w:firstLine="624"/>
        <w:jc w:val="both"/>
        <w:rPr>
          <w:rFonts w:ascii="KaiTi" w:eastAsia="KaiTi" w:hAnsi="KaiTi"/>
          <w:i/>
          <w:iCs/>
          <w:sz w:val="24"/>
          <w:szCs w:val="24"/>
        </w:rPr>
      </w:pPr>
      <w:proofErr w:type="spellStart"/>
      <w:r w:rsidRPr="00866584">
        <w:rPr>
          <w:rFonts w:ascii="KaiTi" w:eastAsia="KaiTi" w:hAnsi="KaiTi"/>
          <w:sz w:val="24"/>
          <w:szCs w:val="24"/>
          <w:lang w:val="zh-CN"/>
        </w:rPr>
        <w:t>表示注意到</w:t>
      </w:r>
      <w:proofErr w:type="spellEnd"/>
      <w:r w:rsidRPr="00866584">
        <w:rPr>
          <w:rFonts w:ascii="KaiTi" w:eastAsia="KaiTi" w:hAnsi="KaiTi"/>
          <w:sz w:val="24"/>
          <w:szCs w:val="24"/>
          <w:lang w:val="zh-CN"/>
        </w:rPr>
        <w:t>：</w:t>
      </w:r>
    </w:p>
    <w:p w14:paraId="200DA23E" w14:textId="77777777" w:rsidR="006279A8" w:rsidRPr="00DB67B9" w:rsidRDefault="006279A8" w:rsidP="006279A8">
      <w:pPr>
        <w:pStyle w:val="Normal-pool"/>
        <w:tabs>
          <w:tab w:val="clear" w:pos="1247"/>
          <w:tab w:val="clear" w:pos="1814"/>
        </w:tabs>
        <w:spacing w:after="120"/>
        <w:ind w:left="1276" w:firstLine="595"/>
        <w:jc w:val="both"/>
        <w:rPr>
          <w:rFonts w:eastAsia="SimSun"/>
          <w:sz w:val="24"/>
          <w:szCs w:val="24"/>
          <w:lang w:eastAsia="zh-CN"/>
        </w:rPr>
      </w:pPr>
      <w:r w:rsidRPr="00DB67B9">
        <w:rPr>
          <w:rFonts w:eastAsia="SimSun" w:hint="eastAsia"/>
          <w:sz w:val="24"/>
          <w:szCs w:val="24"/>
          <w:lang w:val="zh-CN" w:eastAsia="zh-CN"/>
        </w:rPr>
        <w:t>(</w:t>
      </w:r>
      <w:r w:rsidRPr="00DB67B9">
        <w:rPr>
          <w:rFonts w:eastAsia="SimSun"/>
          <w:sz w:val="24"/>
          <w:szCs w:val="24"/>
          <w:lang w:val="zh-CN" w:eastAsia="zh-CN"/>
        </w:rPr>
        <w:t>a)</w:t>
      </w:r>
      <w:r w:rsidRPr="00DB67B9">
        <w:rPr>
          <w:rFonts w:eastAsia="SimSun"/>
          <w:sz w:val="24"/>
          <w:szCs w:val="24"/>
          <w:lang w:val="zh-CN" w:eastAsia="zh-CN"/>
        </w:rPr>
        <w:tab/>
      </w:r>
      <w:r w:rsidRPr="00DB67B9">
        <w:rPr>
          <w:rFonts w:eastAsia="SimSun"/>
          <w:sz w:val="24"/>
          <w:szCs w:val="24"/>
          <w:lang w:val="zh-CN" w:eastAsia="zh-CN"/>
        </w:rPr>
        <w:t>《控制危险废物越境转移及其处置巴塞尔公约》的最新电子汇报系统；</w:t>
      </w:r>
      <w:r w:rsidRPr="00DB67B9">
        <w:rPr>
          <w:rFonts w:eastAsia="SimSun"/>
          <w:iCs/>
          <w:sz w:val="24"/>
          <w:szCs w:val="24"/>
          <w:vertAlign w:val="superscript"/>
          <w:lang w:val="zh-CN"/>
        </w:rPr>
        <w:footnoteReference w:id="1"/>
      </w:r>
    </w:p>
    <w:p w14:paraId="4615E38A" w14:textId="77777777" w:rsidR="006279A8" w:rsidRPr="00DB67B9" w:rsidRDefault="006279A8" w:rsidP="006279A8">
      <w:pPr>
        <w:pStyle w:val="Normal-pool"/>
        <w:tabs>
          <w:tab w:val="clear" w:pos="1247"/>
          <w:tab w:val="clear" w:pos="1814"/>
        </w:tabs>
        <w:spacing w:after="120"/>
        <w:ind w:left="1276" w:firstLine="595"/>
        <w:jc w:val="both"/>
        <w:rPr>
          <w:rFonts w:eastAsia="SimSun"/>
          <w:sz w:val="24"/>
          <w:szCs w:val="24"/>
          <w:lang w:eastAsia="zh-CN"/>
        </w:rPr>
      </w:pPr>
      <w:bookmarkStart w:id="0" w:name="_Hlk106803656"/>
      <w:bookmarkStart w:id="1" w:name="_Hlk106791424"/>
      <w:r w:rsidRPr="00DB67B9">
        <w:rPr>
          <w:rFonts w:eastAsia="SimSun"/>
          <w:sz w:val="24"/>
          <w:szCs w:val="24"/>
          <w:lang w:eastAsia="zh-CN"/>
        </w:rPr>
        <w:t>(b)</w:t>
      </w:r>
      <w:r w:rsidRPr="00DB67B9">
        <w:rPr>
          <w:rFonts w:eastAsia="SimSun"/>
          <w:sz w:val="24"/>
          <w:szCs w:val="24"/>
          <w:lang w:eastAsia="zh-CN"/>
        </w:rPr>
        <w:tab/>
      </w:r>
      <w:r w:rsidRPr="00DB67B9">
        <w:rPr>
          <w:rFonts w:eastAsia="SimSun"/>
          <w:sz w:val="24"/>
          <w:szCs w:val="24"/>
          <w:lang w:val="zh-CN" w:eastAsia="zh-CN"/>
        </w:rPr>
        <w:t>关于编制塑料废物、废弃农药和农药包装废弃物以及废旧含锂电池清单的实用指导意见；</w:t>
      </w:r>
      <w:r w:rsidRPr="00DB67B9">
        <w:rPr>
          <w:rFonts w:eastAsia="SimSun"/>
          <w:sz w:val="24"/>
          <w:szCs w:val="24"/>
          <w:vertAlign w:val="superscript"/>
          <w:lang w:val="zh-CN"/>
        </w:rPr>
        <w:footnoteReference w:id="2"/>
      </w:r>
      <w:r w:rsidRPr="00DB67B9">
        <w:rPr>
          <w:rFonts w:eastAsia="SimSun"/>
          <w:sz w:val="24"/>
          <w:szCs w:val="24"/>
          <w:lang w:val="zh-CN" w:eastAsia="zh-CN"/>
        </w:rPr>
        <w:t xml:space="preserve"> </w:t>
      </w:r>
      <w:r w:rsidRPr="00DB67B9">
        <w:rPr>
          <w:rFonts w:eastAsia="SimSun"/>
          <w:sz w:val="24"/>
          <w:szCs w:val="24"/>
          <w:lang w:val="zh-CN" w:eastAsia="zh-CN"/>
        </w:rPr>
        <w:t>关于编制废旧铅酸电池和废油清单的实用指导意见修订版；</w:t>
      </w:r>
      <w:r w:rsidRPr="00DB67B9">
        <w:rPr>
          <w:rStyle w:val="FootnoteReference"/>
          <w:sz w:val="24"/>
          <w:szCs w:val="24"/>
          <w:lang w:val="zh-CN"/>
        </w:rPr>
        <w:footnoteReference w:id="3"/>
      </w:r>
      <w:bookmarkEnd w:id="0"/>
      <w:bookmarkEnd w:id="1"/>
    </w:p>
    <w:p w14:paraId="50C6F5C1" w14:textId="77777777" w:rsidR="006279A8" w:rsidRPr="002A632F" w:rsidRDefault="006279A8" w:rsidP="006279A8">
      <w:pPr>
        <w:pStyle w:val="Normal-pool"/>
        <w:numPr>
          <w:ilvl w:val="0"/>
          <w:numId w:val="21"/>
        </w:numPr>
        <w:tabs>
          <w:tab w:val="clear" w:pos="1247"/>
          <w:tab w:val="clear" w:pos="1814"/>
        </w:tabs>
        <w:spacing w:after="120"/>
        <w:ind w:left="1247" w:firstLine="624"/>
        <w:jc w:val="both"/>
        <w:rPr>
          <w:rFonts w:eastAsia="SimSun"/>
          <w:color w:val="000000"/>
          <w:sz w:val="24"/>
          <w:szCs w:val="24"/>
          <w:lang w:eastAsia="zh-CN"/>
        </w:rPr>
      </w:pPr>
      <w:r w:rsidRPr="00866584">
        <w:rPr>
          <w:rFonts w:ascii="KaiTi" w:eastAsia="KaiTi" w:hAnsi="KaiTi"/>
          <w:sz w:val="24"/>
          <w:szCs w:val="24"/>
          <w:lang w:val="zh-CN" w:eastAsia="zh-CN"/>
        </w:rPr>
        <w:t>鼓励</w:t>
      </w:r>
      <w:r w:rsidRPr="002A632F">
        <w:rPr>
          <w:rFonts w:eastAsia="SimSun"/>
          <w:sz w:val="24"/>
          <w:szCs w:val="24"/>
          <w:lang w:val="zh-CN" w:eastAsia="zh-CN"/>
        </w:rPr>
        <w:t>尚未提交其</w:t>
      </w:r>
      <w:r w:rsidRPr="002A632F">
        <w:rPr>
          <w:rFonts w:eastAsia="SimSun"/>
          <w:sz w:val="24"/>
          <w:szCs w:val="24"/>
          <w:lang w:val="zh-CN" w:eastAsia="zh-CN"/>
        </w:rPr>
        <w:t>2020</w:t>
      </w:r>
      <w:r w:rsidRPr="002A632F">
        <w:rPr>
          <w:rFonts w:eastAsia="SimSun"/>
          <w:sz w:val="24"/>
          <w:szCs w:val="24"/>
          <w:lang w:val="zh-CN" w:eastAsia="zh-CN"/>
        </w:rPr>
        <w:t>年和此前年份的国家报告的缔约方尽快向秘书处提交所欠报告；</w:t>
      </w:r>
    </w:p>
    <w:p w14:paraId="7BCED808" w14:textId="77777777" w:rsidR="006279A8" w:rsidRPr="002A632F" w:rsidRDefault="006279A8" w:rsidP="006279A8">
      <w:pPr>
        <w:pStyle w:val="Normal-pool"/>
        <w:numPr>
          <w:ilvl w:val="0"/>
          <w:numId w:val="21"/>
        </w:numPr>
        <w:tabs>
          <w:tab w:val="clear" w:pos="1247"/>
          <w:tab w:val="clear" w:pos="1814"/>
        </w:tabs>
        <w:spacing w:after="120"/>
        <w:ind w:left="1247" w:firstLine="624"/>
        <w:jc w:val="both"/>
        <w:rPr>
          <w:rFonts w:eastAsia="SimSun"/>
          <w:color w:val="000000"/>
          <w:sz w:val="24"/>
          <w:szCs w:val="24"/>
          <w:lang w:eastAsia="zh-CN"/>
        </w:rPr>
      </w:pPr>
      <w:r w:rsidRPr="00866584">
        <w:rPr>
          <w:rFonts w:ascii="KaiTi" w:eastAsia="KaiTi" w:hAnsi="KaiTi"/>
          <w:sz w:val="24"/>
          <w:szCs w:val="24"/>
          <w:lang w:val="zh-CN" w:eastAsia="zh-CN"/>
        </w:rPr>
        <w:t>邀请</w:t>
      </w:r>
      <w:r w:rsidRPr="002A632F">
        <w:rPr>
          <w:rFonts w:eastAsia="SimSun"/>
          <w:sz w:val="24"/>
          <w:szCs w:val="24"/>
          <w:lang w:val="zh-CN" w:eastAsia="zh-CN"/>
        </w:rPr>
        <w:t>缔约</w:t>
      </w:r>
      <w:proofErr w:type="gramStart"/>
      <w:r w:rsidRPr="002A632F">
        <w:rPr>
          <w:rFonts w:eastAsia="SimSun"/>
          <w:sz w:val="24"/>
          <w:szCs w:val="24"/>
          <w:lang w:val="zh-CN" w:eastAsia="zh-CN"/>
        </w:rPr>
        <w:t>方至少</w:t>
      </w:r>
      <w:proofErr w:type="gramEnd"/>
      <w:r w:rsidRPr="002A632F">
        <w:rPr>
          <w:rFonts w:eastAsia="SimSun"/>
          <w:sz w:val="24"/>
          <w:szCs w:val="24"/>
          <w:lang w:val="zh-CN" w:eastAsia="zh-CN"/>
        </w:rPr>
        <w:t>每四年一次在其国家报告中列入关于废物产生的资料；</w:t>
      </w:r>
    </w:p>
    <w:p w14:paraId="4942B2D3" w14:textId="77777777" w:rsidR="006279A8" w:rsidRPr="002A632F" w:rsidRDefault="006279A8" w:rsidP="006279A8">
      <w:pPr>
        <w:pStyle w:val="Normal-pool"/>
        <w:numPr>
          <w:ilvl w:val="0"/>
          <w:numId w:val="21"/>
        </w:numPr>
        <w:tabs>
          <w:tab w:val="clear" w:pos="1247"/>
          <w:tab w:val="clear" w:pos="1814"/>
        </w:tabs>
        <w:spacing w:after="120"/>
        <w:ind w:left="1247" w:firstLine="624"/>
        <w:jc w:val="both"/>
        <w:rPr>
          <w:rFonts w:eastAsia="SimSun"/>
          <w:color w:val="000000"/>
          <w:sz w:val="24"/>
          <w:szCs w:val="24"/>
          <w:lang w:eastAsia="zh-CN"/>
        </w:rPr>
      </w:pPr>
      <w:bookmarkStart w:id="3" w:name="_Hlk106791411"/>
      <w:r w:rsidRPr="00866584">
        <w:rPr>
          <w:rFonts w:ascii="KaiTi" w:eastAsia="KaiTi" w:hAnsi="KaiTi"/>
          <w:sz w:val="24"/>
          <w:szCs w:val="24"/>
          <w:lang w:val="zh-CN" w:eastAsia="zh-CN"/>
        </w:rPr>
        <w:t>邀请</w:t>
      </w:r>
      <w:r w:rsidRPr="002A632F">
        <w:rPr>
          <w:rFonts w:eastAsia="SimSun"/>
          <w:sz w:val="24"/>
          <w:szCs w:val="24"/>
          <w:lang w:val="zh-CN" w:eastAsia="zh-CN"/>
        </w:rPr>
        <w:t>缔约方和其他各方使用本决定第</w:t>
      </w:r>
      <w:r w:rsidRPr="002A632F">
        <w:rPr>
          <w:rFonts w:eastAsia="SimSun"/>
          <w:sz w:val="24"/>
          <w:szCs w:val="24"/>
          <w:lang w:val="zh-CN" w:eastAsia="zh-CN"/>
        </w:rPr>
        <w:t>1 (b)</w:t>
      </w:r>
      <w:r w:rsidRPr="002A632F">
        <w:rPr>
          <w:rFonts w:eastAsia="SimSun"/>
          <w:sz w:val="24"/>
          <w:szCs w:val="24"/>
          <w:lang w:val="zh-CN" w:eastAsia="zh-CN"/>
        </w:rPr>
        <w:t>段所述的</w:t>
      </w:r>
      <w:proofErr w:type="gramStart"/>
      <w:r w:rsidRPr="002A632F">
        <w:rPr>
          <w:rFonts w:eastAsia="SimSun"/>
          <w:sz w:val="24"/>
          <w:szCs w:val="24"/>
          <w:lang w:val="zh-CN" w:eastAsia="zh-CN"/>
        </w:rPr>
        <w:t>实用指导</w:t>
      </w:r>
      <w:proofErr w:type="gramEnd"/>
      <w:r w:rsidRPr="002A632F">
        <w:rPr>
          <w:rFonts w:eastAsia="SimSun"/>
          <w:sz w:val="24"/>
          <w:szCs w:val="24"/>
          <w:lang w:val="zh-CN" w:eastAsia="zh-CN"/>
        </w:rPr>
        <w:t>意见，并至迟于</w:t>
      </w:r>
      <w:r w:rsidRPr="002A632F">
        <w:rPr>
          <w:rFonts w:eastAsia="SimSun"/>
          <w:sz w:val="24"/>
          <w:szCs w:val="24"/>
          <w:lang w:val="zh-CN" w:eastAsia="zh-CN"/>
        </w:rPr>
        <w:t>2023</w:t>
      </w:r>
      <w:r w:rsidRPr="002A632F">
        <w:rPr>
          <w:rFonts w:eastAsia="SimSun"/>
          <w:sz w:val="24"/>
          <w:szCs w:val="24"/>
          <w:lang w:val="zh-CN" w:eastAsia="zh-CN"/>
        </w:rPr>
        <w:t>年</w:t>
      </w:r>
      <w:r w:rsidRPr="002A632F">
        <w:rPr>
          <w:rFonts w:eastAsia="SimSun"/>
          <w:sz w:val="24"/>
          <w:szCs w:val="24"/>
          <w:lang w:val="zh-CN" w:eastAsia="zh-CN"/>
        </w:rPr>
        <w:t>12</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日向秘书处通报使用情况；</w:t>
      </w:r>
    </w:p>
    <w:bookmarkEnd w:id="3"/>
    <w:p w14:paraId="1ED335AD" w14:textId="77777777" w:rsidR="006279A8" w:rsidRPr="002A632F" w:rsidRDefault="006279A8" w:rsidP="006279A8">
      <w:pPr>
        <w:pStyle w:val="Normal-pool"/>
        <w:numPr>
          <w:ilvl w:val="0"/>
          <w:numId w:val="21"/>
        </w:numPr>
        <w:tabs>
          <w:tab w:val="clear" w:pos="1247"/>
          <w:tab w:val="clear" w:pos="1814"/>
        </w:tabs>
        <w:spacing w:after="120"/>
        <w:ind w:left="1247" w:firstLine="624"/>
        <w:jc w:val="both"/>
        <w:rPr>
          <w:rFonts w:eastAsia="SimSun"/>
          <w:color w:val="000000"/>
          <w:sz w:val="24"/>
          <w:szCs w:val="24"/>
        </w:rPr>
      </w:pPr>
      <w:proofErr w:type="spellStart"/>
      <w:r w:rsidRPr="00866584">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27BEEC57" w14:textId="77777777" w:rsidR="006279A8" w:rsidRPr="002A632F" w:rsidRDefault="006279A8" w:rsidP="006279A8">
      <w:pPr>
        <w:pStyle w:val="Normal-pool"/>
        <w:numPr>
          <w:ilvl w:val="0"/>
          <w:numId w:val="20"/>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继续开发电子汇报系统，并支持缔约方使用该系统；</w:t>
      </w:r>
    </w:p>
    <w:p w14:paraId="627D8BD0" w14:textId="77777777" w:rsidR="006279A8" w:rsidRPr="002A632F" w:rsidRDefault="006279A8" w:rsidP="006279A8">
      <w:pPr>
        <w:pStyle w:val="Normal-pool"/>
        <w:numPr>
          <w:ilvl w:val="0"/>
          <w:numId w:val="20"/>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在资源允许的情况下，继续根据</w:t>
      </w:r>
      <w:r w:rsidRPr="002A632F">
        <w:rPr>
          <w:rFonts w:eastAsia="SimSun"/>
          <w:sz w:val="24"/>
          <w:szCs w:val="24"/>
          <w:lang w:val="zh-CN" w:eastAsia="zh-CN"/>
        </w:rPr>
        <w:t>BC-14/10</w:t>
      </w:r>
      <w:r w:rsidRPr="002A632F">
        <w:rPr>
          <w:rFonts w:eastAsia="SimSun"/>
          <w:sz w:val="24"/>
          <w:szCs w:val="24"/>
          <w:lang w:val="zh-CN" w:eastAsia="zh-CN"/>
        </w:rPr>
        <w:t>号决定，就列为中度优先的废物流的清单编制工作制定</w:t>
      </w:r>
      <w:proofErr w:type="gramStart"/>
      <w:r w:rsidRPr="002A632F">
        <w:rPr>
          <w:rFonts w:eastAsia="SimSun"/>
          <w:sz w:val="24"/>
          <w:szCs w:val="24"/>
          <w:lang w:val="zh-CN" w:eastAsia="zh-CN"/>
        </w:rPr>
        <w:t>实用指导</w:t>
      </w:r>
      <w:proofErr w:type="gramEnd"/>
      <w:r w:rsidRPr="002A632F">
        <w:rPr>
          <w:rFonts w:eastAsia="SimSun"/>
          <w:sz w:val="24"/>
          <w:szCs w:val="24"/>
          <w:lang w:val="zh-CN" w:eastAsia="zh-CN"/>
        </w:rPr>
        <w:t>意见，供缔约方大会第十六次会议审议；</w:t>
      </w:r>
    </w:p>
    <w:p w14:paraId="05698BF9" w14:textId="77777777" w:rsidR="006279A8" w:rsidRPr="002A632F" w:rsidRDefault="006279A8" w:rsidP="006279A8">
      <w:pPr>
        <w:pStyle w:val="Normal-pool"/>
        <w:numPr>
          <w:ilvl w:val="0"/>
          <w:numId w:val="20"/>
        </w:numPr>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在资源允许的情况下，以联合国六种正式语文提供本决定第</w:t>
      </w:r>
      <w:r w:rsidRPr="002A632F">
        <w:rPr>
          <w:rFonts w:eastAsia="SimSun"/>
          <w:sz w:val="24"/>
          <w:szCs w:val="24"/>
          <w:lang w:val="zh-CN" w:eastAsia="zh-CN"/>
        </w:rPr>
        <w:t>1 (b)</w:t>
      </w:r>
      <w:r w:rsidRPr="002A632F">
        <w:rPr>
          <w:rFonts w:eastAsia="SimSun"/>
          <w:sz w:val="24"/>
          <w:szCs w:val="24"/>
          <w:lang w:val="zh-CN" w:eastAsia="zh-CN"/>
        </w:rPr>
        <w:t>段所述的关于编制塑料废物、废弃农药和农药包装废弃物以及废旧含锂电池清单的</w:t>
      </w:r>
      <w:proofErr w:type="gramStart"/>
      <w:r w:rsidRPr="002A632F">
        <w:rPr>
          <w:rFonts w:eastAsia="SimSun"/>
          <w:sz w:val="24"/>
          <w:szCs w:val="24"/>
          <w:lang w:val="zh-CN" w:eastAsia="zh-CN"/>
        </w:rPr>
        <w:t>实用指导</w:t>
      </w:r>
      <w:proofErr w:type="gramEnd"/>
      <w:r w:rsidRPr="002A632F">
        <w:rPr>
          <w:rFonts w:eastAsia="SimSun"/>
          <w:sz w:val="24"/>
          <w:szCs w:val="24"/>
          <w:lang w:val="zh-CN" w:eastAsia="zh-CN"/>
        </w:rPr>
        <w:t>意见，以加强缔约方对其的使用；</w:t>
      </w:r>
    </w:p>
    <w:p w14:paraId="3D2B8807" w14:textId="77777777" w:rsidR="006279A8" w:rsidRPr="002A632F" w:rsidRDefault="006279A8" w:rsidP="006279A8">
      <w:pPr>
        <w:pStyle w:val="Normal-pool"/>
        <w:numPr>
          <w:ilvl w:val="0"/>
          <w:numId w:val="20"/>
        </w:numPr>
        <w:tabs>
          <w:tab w:val="clear" w:pos="1247"/>
          <w:tab w:val="clear" w:pos="1814"/>
        </w:tabs>
        <w:spacing w:after="120"/>
        <w:ind w:left="1247" w:firstLine="624"/>
        <w:jc w:val="both"/>
        <w:rPr>
          <w:rFonts w:eastAsia="SimSun"/>
          <w:color w:val="000000"/>
          <w:sz w:val="24"/>
          <w:szCs w:val="24"/>
          <w:lang w:eastAsia="zh-CN"/>
        </w:rPr>
      </w:pPr>
      <w:bookmarkStart w:id="4" w:name="_Hlk533166062"/>
      <w:r w:rsidRPr="002A632F">
        <w:rPr>
          <w:rFonts w:eastAsia="SimSun"/>
          <w:sz w:val="24"/>
          <w:szCs w:val="24"/>
          <w:lang w:val="zh-CN" w:eastAsia="zh-CN"/>
        </w:rPr>
        <w:t>在资源允许的情况下开展试点项目，试用关于编制塑料废物、废弃农药和农药包装废弃物以及废旧含锂电池清单的</w:t>
      </w:r>
      <w:proofErr w:type="gramStart"/>
      <w:r w:rsidRPr="002A632F">
        <w:rPr>
          <w:rFonts w:eastAsia="SimSun"/>
          <w:sz w:val="24"/>
          <w:szCs w:val="24"/>
          <w:lang w:val="zh-CN" w:eastAsia="zh-CN"/>
        </w:rPr>
        <w:t>实用指导</w:t>
      </w:r>
      <w:proofErr w:type="gramEnd"/>
      <w:r w:rsidRPr="002A632F">
        <w:rPr>
          <w:rFonts w:eastAsia="SimSun"/>
          <w:sz w:val="24"/>
          <w:szCs w:val="24"/>
          <w:lang w:val="zh-CN" w:eastAsia="zh-CN"/>
        </w:rPr>
        <w:t>意见，并根据此类项目的结果以及缔约方和观察员提交的关于其使用指导意见情况的评论意见，编写</w:t>
      </w:r>
      <w:proofErr w:type="gramStart"/>
      <w:r w:rsidRPr="002A632F">
        <w:rPr>
          <w:rFonts w:eastAsia="SimSun"/>
          <w:sz w:val="24"/>
          <w:szCs w:val="24"/>
          <w:lang w:val="zh-CN" w:eastAsia="zh-CN"/>
        </w:rPr>
        <w:t>实用指导</w:t>
      </w:r>
      <w:proofErr w:type="gramEnd"/>
      <w:r w:rsidRPr="002A632F">
        <w:rPr>
          <w:rFonts w:eastAsia="SimSun"/>
          <w:sz w:val="24"/>
          <w:szCs w:val="24"/>
          <w:lang w:val="zh-CN" w:eastAsia="zh-CN"/>
        </w:rPr>
        <w:t>意见修订版，供缔约方大会第十七次会议审议；</w:t>
      </w:r>
    </w:p>
    <w:p w14:paraId="4A0E53B4" w14:textId="77777777" w:rsidR="006279A8" w:rsidRPr="002A632F" w:rsidRDefault="006279A8" w:rsidP="006279A8">
      <w:pPr>
        <w:pStyle w:val="Normal-pool"/>
        <w:numPr>
          <w:ilvl w:val="0"/>
          <w:numId w:val="20"/>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在资源允许的情况下，广泛传播第二期《废物无国界》报告</w:t>
      </w:r>
      <w:r w:rsidRPr="002A632F">
        <w:rPr>
          <w:rFonts w:eastAsia="SimSun"/>
          <w:sz w:val="24"/>
          <w:szCs w:val="24"/>
          <w:vertAlign w:val="superscript"/>
          <w:lang w:val="zh-CN"/>
        </w:rPr>
        <w:footnoteReference w:id="4"/>
      </w:r>
      <w:r w:rsidRPr="002A632F">
        <w:rPr>
          <w:rFonts w:eastAsia="SimSun"/>
          <w:sz w:val="24"/>
          <w:szCs w:val="24"/>
          <w:lang w:val="zh-CN" w:eastAsia="zh-CN"/>
        </w:rPr>
        <w:t>；</w:t>
      </w:r>
    </w:p>
    <w:p w14:paraId="22ADEE18" w14:textId="77777777" w:rsidR="006279A8" w:rsidRPr="002A632F" w:rsidRDefault="006279A8" w:rsidP="006279A8">
      <w:pPr>
        <w:pStyle w:val="Normal-pool"/>
        <w:numPr>
          <w:ilvl w:val="0"/>
          <w:numId w:val="20"/>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在资源允许的情况下，通过与巴塞尔公约区域中心和协调中心合作，继续向发展中国家及其他需要协助以履行报告义务的国家提供培训，并在此</w:t>
      </w:r>
      <w:r w:rsidRPr="002A632F">
        <w:rPr>
          <w:rFonts w:eastAsia="SimSun"/>
          <w:sz w:val="24"/>
          <w:szCs w:val="24"/>
          <w:lang w:val="zh-CN" w:eastAsia="zh-CN"/>
        </w:rPr>
        <w:lastRenderedPageBreak/>
        <w:t>过程中优先开展缔约方编制国家清单并同时进行国家立法的能力建设，以便发扬履约和遵约促进机制管理委员会采取的做法；</w:t>
      </w:r>
      <w:r w:rsidRPr="002A632F">
        <w:rPr>
          <w:rFonts w:eastAsia="SimSun"/>
          <w:sz w:val="24"/>
          <w:szCs w:val="24"/>
          <w:vertAlign w:val="superscript"/>
          <w:lang w:val="zh-CN"/>
        </w:rPr>
        <w:footnoteReference w:id="5"/>
      </w:r>
    </w:p>
    <w:bookmarkEnd w:id="4"/>
    <w:p w14:paraId="0593D00F" w14:textId="77777777" w:rsidR="006279A8" w:rsidRPr="002A632F" w:rsidRDefault="006279A8" w:rsidP="006279A8">
      <w:pPr>
        <w:pStyle w:val="Normal-pool"/>
        <w:numPr>
          <w:ilvl w:val="0"/>
          <w:numId w:val="20"/>
        </w:numPr>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向缔约方大会第十六次会议报告本决定的执行情况。</w:t>
      </w:r>
    </w:p>
    <w:p w14:paraId="53A24FD6" w14:textId="0CA4889D" w:rsidR="00F935A6" w:rsidRPr="006279A8" w:rsidRDefault="00F935A6" w:rsidP="006279A8">
      <w:pPr>
        <w:pStyle w:val="Normal-pool"/>
        <w:jc w:val="both"/>
        <w:rPr>
          <w:rFonts w:eastAsia="SimSun"/>
          <w:sz w:val="24"/>
          <w:szCs w:val="24"/>
          <w:lang w:eastAsia="zh-CN"/>
        </w:rPr>
      </w:pPr>
    </w:p>
    <w:sectPr w:rsidR="00F935A6" w:rsidRPr="006279A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74C64" w14:textId="77777777" w:rsidR="003D5C43" w:rsidRDefault="003D5C43" w:rsidP="00FC11E6">
      <w:pPr>
        <w:spacing w:after="0" w:line="240" w:lineRule="auto"/>
      </w:pPr>
      <w:r>
        <w:separator/>
      </w:r>
    </w:p>
  </w:endnote>
  <w:endnote w:type="continuationSeparator" w:id="0">
    <w:p w14:paraId="7A1129E0" w14:textId="77777777" w:rsidR="003D5C43" w:rsidRDefault="003D5C43"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38AD3" w14:textId="77777777" w:rsidR="003D5C43" w:rsidRDefault="003D5C43" w:rsidP="00FC11E6">
      <w:pPr>
        <w:spacing w:after="0" w:line="240" w:lineRule="auto"/>
      </w:pPr>
      <w:r>
        <w:separator/>
      </w:r>
    </w:p>
  </w:footnote>
  <w:footnote w:type="continuationSeparator" w:id="0">
    <w:p w14:paraId="7E59D1FD" w14:textId="77777777" w:rsidR="003D5C43" w:rsidRDefault="003D5C43" w:rsidP="00FC11E6">
      <w:pPr>
        <w:spacing w:after="0" w:line="240" w:lineRule="auto"/>
      </w:pPr>
      <w:r>
        <w:continuationSeparator/>
      </w:r>
    </w:p>
  </w:footnote>
  <w:footnote w:id="1">
    <w:p w14:paraId="5B6775E7" w14:textId="77777777" w:rsidR="006279A8" w:rsidRPr="00DB67B9" w:rsidRDefault="006279A8" w:rsidP="006279A8">
      <w:pPr>
        <w:pStyle w:val="Normal-pool"/>
        <w:spacing w:before="20" w:after="40"/>
        <w:ind w:left="1253"/>
        <w:rPr>
          <w:rFonts w:eastAsia="SimSun"/>
        </w:rPr>
      </w:pPr>
      <w:r w:rsidRPr="00DB67B9">
        <w:rPr>
          <w:rFonts w:eastAsia="SimSun"/>
          <w:vertAlign w:val="superscript"/>
          <w:lang w:val="zh-CN"/>
        </w:rPr>
        <w:footnoteRef/>
      </w:r>
      <w:r w:rsidRPr="00DB67B9">
        <w:rPr>
          <w:rFonts w:eastAsia="SimSun"/>
        </w:rPr>
        <w:t xml:space="preserve"> www.basel.int/Countries/NationalReporting/tabid/3356/Default.aspx</w:t>
      </w:r>
      <w:r w:rsidRPr="00DB67B9">
        <w:rPr>
          <w:rFonts w:eastAsia="SimSun"/>
          <w:lang w:val="zh-CN"/>
        </w:rPr>
        <w:t>。</w:t>
      </w:r>
    </w:p>
  </w:footnote>
  <w:footnote w:id="2">
    <w:p w14:paraId="2B230C17" w14:textId="77777777" w:rsidR="006279A8" w:rsidRPr="00DB67B9" w:rsidRDefault="006279A8" w:rsidP="006279A8">
      <w:pPr>
        <w:pStyle w:val="Normal-pool"/>
        <w:spacing w:before="20" w:after="40"/>
        <w:ind w:left="1253"/>
        <w:rPr>
          <w:rFonts w:eastAsia="SimSun"/>
        </w:rPr>
      </w:pPr>
      <w:r w:rsidRPr="00DB67B9">
        <w:rPr>
          <w:rFonts w:eastAsia="SimSun"/>
          <w:vertAlign w:val="superscript"/>
          <w:lang w:val="zh-CN"/>
        </w:rPr>
        <w:footnoteRef/>
      </w:r>
      <w:r w:rsidRPr="00DB67B9">
        <w:rPr>
          <w:rFonts w:eastAsia="SimSun"/>
        </w:rPr>
        <w:t xml:space="preserve"> UNEP/CHW.15/INF/19/Rev.1, UNEP/CHW.15/INF/50/Rev.1 and UNEP/CHW.15/INF/51/Rev.1</w:t>
      </w:r>
      <w:r w:rsidRPr="00DB67B9">
        <w:rPr>
          <w:rFonts w:eastAsia="SimSun"/>
          <w:lang w:val="zh-CN"/>
        </w:rPr>
        <w:t>。</w:t>
      </w:r>
      <w:bookmarkStart w:id="2" w:name="_Hlk106803639"/>
      <w:bookmarkEnd w:id="2"/>
    </w:p>
  </w:footnote>
  <w:footnote w:id="3">
    <w:p w14:paraId="7A939AC7" w14:textId="77777777" w:rsidR="006279A8" w:rsidRPr="00DB67B9" w:rsidRDefault="006279A8" w:rsidP="006279A8">
      <w:pPr>
        <w:pStyle w:val="Normal-pool"/>
        <w:spacing w:before="20" w:after="40"/>
        <w:ind w:left="1253"/>
        <w:rPr>
          <w:rFonts w:eastAsia="SimSun"/>
        </w:rPr>
      </w:pPr>
      <w:r w:rsidRPr="00DB67B9">
        <w:rPr>
          <w:rStyle w:val="FootnoteReference"/>
          <w:lang w:val="zh-CN"/>
        </w:rPr>
        <w:footnoteRef/>
      </w:r>
      <w:r w:rsidRPr="00DB67B9">
        <w:rPr>
          <w:rFonts w:eastAsia="SimSun"/>
        </w:rPr>
        <w:t xml:space="preserve"> UNEP/CHW.15/INF/61.</w:t>
      </w:r>
    </w:p>
  </w:footnote>
  <w:footnote w:id="4">
    <w:p w14:paraId="0BA5CEFD" w14:textId="77777777" w:rsidR="006279A8" w:rsidRPr="00DB67B9" w:rsidRDefault="006279A8" w:rsidP="006279A8">
      <w:pPr>
        <w:pStyle w:val="Normal-pool"/>
        <w:spacing w:before="20" w:after="40"/>
        <w:ind w:left="1253"/>
        <w:rPr>
          <w:rFonts w:eastAsia="SimSun"/>
        </w:rPr>
      </w:pPr>
      <w:r w:rsidRPr="00DB67B9">
        <w:rPr>
          <w:rFonts w:eastAsia="SimSun"/>
          <w:vertAlign w:val="superscript"/>
          <w:lang w:val="zh-CN"/>
        </w:rPr>
        <w:footnoteRef/>
      </w:r>
      <w:r w:rsidRPr="00DB67B9">
        <w:rPr>
          <w:rFonts w:eastAsia="SimSun"/>
        </w:rPr>
        <w:t xml:space="preserve"> www.basel.int/Implementation/Publications/Other/tabid/2470/Default.aspx</w:t>
      </w:r>
      <w:r w:rsidRPr="00DB67B9">
        <w:rPr>
          <w:rFonts w:eastAsia="SimSun"/>
          <w:lang w:val="zh-CN"/>
        </w:rPr>
        <w:t>。</w:t>
      </w:r>
    </w:p>
  </w:footnote>
  <w:footnote w:id="5">
    <w:p w14:paraId="73027BC6" w14:textId="77777777" w:rsidR="006279A8" w:rsidRPr="0017351B" w:rsidRDefault="006279A8" w:rsidP="006279A8">
      <w:pPr>
        <w:pStyle w:val="Normal-pool"/>
        <w:spacing w:before="20" w:after="40"/>
        <w:ind w:left="1253"/>
        <w:rPr>
          <w:sz w:val="18"/>
          <w:szCs w:val="18"/>
        </w:rPr>
      </w:pPr>
      <w:r w:rsidRPr="00DB67B9">
        <w:rPr>
          <w:rFonts w:eastAsia="SimSun"/>
          <w:vertAlign w:val="superscript"/>
          <w:lang w:val="zh-CN"/>
        </w:rPr>
        <w:footnoteRef/>
      </w:r>
      <w:r w:rsidRPr="00DB67B9">
        <w:rPr>
          <w:rFonts w:eastAsia="SimSun"/>
        </w:rPr>
        <w:t xml:space="preserve"> www.basel.int/Implementation/LegalMatters/Compliance/SpecificSubmissionsActivities/ </w:t>
      </w:r>
      <w:proofErr w:type="spellStart"/>
      <w:r w:rsidRPr="00DB67B9">
        <w:rPr>
          <w:rFonts w:eastAsia="SimSun"/>
        </w:rPr>
        <w:t>Currentsubmissions</w:t>
      </w:r>
      <w:proofErr w:type="spellEnd"/>
      <w:r w:rsidRPr="00DB67B9">
        <w:rPr>
          <w:rFonts w:eastAsia="SimSun"/>
        </w:rPr>
        <w:t>/tabid/2310/Default.aspx</w:t>
      </w:r>
      <w:r w:rsidRPr="00DB67B9">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C62AE9"/>
    <w:multiLevelType w:val="hybridMultilevel"/>
    <w:tmpl w:val="CAA482E4"/>
    <w:lvl w:ilvl="0" w:tplc="E7809AC0">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5"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4"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7"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516194">
    <w:abstractNumId w:val="10"/>
    <w:lvlOverride w:ilvl="0">
      <w:lvl w:ilvl="0" w:tplc="9260D008">
        <w:start w:val="1"/>
        <w:numFmt w:val="decimal"/>
        <w:lvlText w:val="%1."/>
        <w:lvlJc w:val="left"/>
        <w:pPr>
          <w:ind w:left="720" w:hanging="360"/>
        </w:pPr>
        <w:rPr>
          <w:i w:val="0"/>
          <w:iCs/>
        </w:rPr>
      </w:lvl>
    </w:lvlOverride>
  </w:num>
  <w:num w:numId="2" w16cid:durableId="1342774805">
    <w:abstractNumId w:val="11"/>
    <w:lvlOverride w:ilvl="0">
      <w:lvl w:ilvl="0" w:tplc="0B82E394">
        <w:start w:val="1"/>
        <w:numFmt w:val="lowerLetter"/>
        <w:lvlText w:val="(%1)"/>
        <w:lvlJc w:val="left"/>
        <w:pPr>
          <w:ind w:left="720" w:hanging="360"/>
        </w:pPr>
        <w:rPr>
          <w:rFonts w:hint="default"/>
        </w:rPr>
      </w:lvl>
    </w:lvlOverride>
  </w:num>
  <w:num w:numId="3" w16cid:durableId="541482266">
    <w:abstractNumId w:val="12"/>
    <w:lvlOverride w:ilvl="0">
      <w:lvl w:ilvl="0" w:tplc="FFFFFFFF">
        <w:start w:val="1"/>
        <w:numFmt w:val="decimal"/>
        <w:lvlText w:val="%1."/>
        <w:lvlJc w:val="left"/>
        <w:pPr>
          <w:ind w:left="720" w:hanging="360"/>
        </w:pPr>
        <w:rPr>
          <w:i w:val="0"/>
          <w:iCs/>
        </w:rPr>
      </w:lvl>
    </w:lvlOverride>
  </w:num>
  <w:num w:numId="4" w16cid:durableId="76900579">
    <w:abstractNumId w:val="1"/>
    <w:lvlOverride w:ilvl="0">
      <w:lvl w:ilvl="0" w:tplc="0809000F">
        <w:start w:val="1"/>
        <w:numFmt w:val="decimal"/>
        <w:lvlText w:val="%1."/>
        <w:lvlJc w:val="left"/>
        <w:pPr>
          <w:ind w:left="720" w:hanging="360"/>
        </w:pPr>
      </w:lvl>
    </w:lvlOverride>
  </w:num>
  <w:num w:numId="5" w16cid:durableId="509682620">
    <w:abstractNumId w:val="15"/>
    <w:lvlOverride w:ilvl="0">
      <w:lvl w:ilvl="0" w:tplc="0809000F">
        <w:start w:val="1"/>
        <w:numFmt w:val="decimal"/>
        <w:lvlText w:val="%1."/>
        <w:lvlJc w:val="left"/>
        <w:pPr>
          <w:ind w:left="720" w:hanging="360"/>
        </w:pPr>
      </w:lvl>
    </w:lvlOverride>
  </w:num>
  <w:num w:numId="6" w16cid:durableId="1933778142">
    <w:abstractNumId w:val="18"/>
    <w:lvlOverride w:ilvl="0">
      <w:lvl w:ilvl="0" w:tplc="0B82E394">
        <w:start w:val="1"/>
        <w:numFmt w:val="lowerLetter"/>
        <w:lvlText w:val="(%1)"/>
        <w:lvlJc w:val="left"/>
        <w:pPr>
          <w:ind w:left="720" w:hanging="360"/>
        </w:pPr>
        <w:rPr>
          <w:rFonts w:hint="default"/>
        </w:rPr>
      </w:lvl>
    </w:lvlOverride>
  </w:num>
  <w:num w:numId="7" w16cid:durableId="562719092">
    <w:abstractNumId w:val="16"/>
    <w:lvlOverride w:ilvl="0">
      <w:lvl w:ilvl="0" w:tplc="0B82E394">
        <w:start w:val="1"/>
        <w:numFmt w:val="lowerLetter"/>
        <w:lvlText w:val="(%1)"/>
        <w:lvlJc w:val="left"/>
        <w:pPr>
          <w:ind w:left="2231" w:hanging="360"/>
        </w:pPr>
        <w:rPr>
          <w:rFonts w:hint="default"/>
        </w:rPr>
      </w:lvl>
    </w:lvlOverride>
  </w:num>
  <w:num w:numId="8" w16cid:durableId="541944942">
    <w:abstractNumId w:val="20"/>
    <w:lvlOverride w:ilvl="0">
      <w:lvl w:ilvl="0" w:tplc="0B82E394">
        <w:start w:val="1"/>
        <w:numFmt w:val="lowerLetter"/>
        <w:lvlText w:val="(%1)"/>
        <w:lvlJc w:val="left"/>
        <w:pPr>
          <w:ind w:left="720" w:hanging="360"/>
        </w:pPr>
        <w:rPr>
          <w:rFonts w:hint="default"/>
        </w:rPr>
      </w:lvl>
    </w:lvlOverride>
  </w:num>
  <w:num w:numId="9" w16cid:durableId="1093362229">
    <w:abstractNumId w:val="0"/>
    <w:lvlOverride w:ilvl="0">
      <w:lvl w:ilvl="0" w:tplc="0B82E394">
        <w:start w:val="1"/>
        <w:numFmt w:val="lowerLetter"/>
        <w:lvlText w:val="(%1)"/>
        <w:lvlJc w:val="left"/>
        <w:pPr>
          <w:ind w:left="720" w:hanging="360"/>
        </w:pPr>
        <w:rPr>
          <w:rFonts w:hint="default"/>
        </w:rPr>
      </w:lvl>
    </w:lvlOverride>
  </w:num>
  <w:num w:numId="10" w16cid:durableId="1112242020">
    <w:abstractNumId w:val="13"/>
    <w:lvlOverride w:ilvl="0">
      <w:lvl w:ilvl="0" w:tplc="FFFFFFFF">
        <w:start w:val="1"/>
        <w:numFmt w:val="lowerLetter"/>
        <w:lvlText w:val="(%1)"/>
        <w:lvlJc w:val="left"/>
        <w:pPr>
          <w:ind w:left="2174" w:hanging="360"/>
        </w:pPr>
        <w:rPr>
          <w:rFonts w:hint="default"/>
        </w:rPr>
      </w:lvl>
    </w:lvlOverride>
  </w:num>
  <w:num w:numId="11" w16cid:durableId="970476093">
    <w:abstractNumId w:val="6"/>
    <w:lvlOverride w:ilvl="0">
      <w:lvl w:ilvl="0" w:tplc="8C229E08">
        <w:start w:val="1"/>
        <w:numFmt w:val="decimal"/>
        <w:lvlText w:val="%1."/>
        <w:lvlJc w:val="left"/>
        <w:pPr>
          <w:ind w:left="720" w:hanging="360"/>
        </w:pPr>
        <w:rPr>
          <w:i w:val="0"/>
          <w:iCs w:val="0"/>
        </w:rPr>
      </w:lvl>
    </w:lvlOverride>
  </w:num>
  <w:num w:numId="12" w16cid:durableId="864173611">
    <w:abstractNumId w:val="2"/>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19"/>
    <w:lvlOverride w:ilvl="0">
      <w:lvl w:ilvl="0" w:tplc="026427D6">
        <w:start w:val="1"/>
        <w:numFmt w:val="decimal"/>
        <w:lvlText w:val="%1."/>
        <w:lvlJc w:val="left"/>
        <w:pPr>
          <w:ind w:left="720" w:hanging="360"/>
        </w:pPr>
        <w:rPr>
          <w:i w:val="0"/>
          <w:iCs/>
        </w:rPr>
      </w:lvl>
    </w:lvlOverride>
  </w:num>
  <w:num w:numId="14" w16cid:durableId="2033724970">
    <w:abstractNumId w:val="14"/>
    <w:lvlOverride w:ilvl="0">
      <w:lvl w:ilvl="0" w:tplc="0B82E394">
        <w:start w:val="1"/>
        <w:numFmt w:val="lowerLetter"/>
        <w:lvlText w:val="(%1)"/>
        <w:lvlJc w:val="left"/>
        <w:pPr>
          <w:ind w:left="720" w:hanging="360"/>
        </w:pPr>
        <w:rPr>
          <w:rFonts w:hint="default"/>
        </w:rPr>
      </w:lvl>
    </w:lvlOverride>
  </w:num>
  <w:num w:numId="15" w16cid:durableId="864905716">
    <w:abstractNumId w:val="3"/>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17"/>
    <w:lvlOverride w:ilvl="0">
      <w:lvl w:ilvl="0" w:tplc="2000000F">
        <w:start w:val="1"/>
        <w:numFmt w:val="decimal"/>
        <w:lvlText w:val="%1."/>
        <w:lvlJc w:val="left"/>
        <w:pPr>
          <w:ind w:left="1967" w:hanging="360"/>
        </w:pPr>
        <w:rPr>
          <w:rFonts w:hint="default"/>
          <w:i w:val="0"/>
        </w:rPr>
      </w:lvl>
    </w:lvlOverride>
  </w:num>
  <w:num w:numId="17" w16cid:durableId="1882666196">
    <w:abstractNumId w:val="7"/>
    <w:lvlOverride w:ilvl="0">
      <w:lvl w:ilvl="0" w:tplc="FFFFFFFF">
        <w:start w:val="1"/>
        <w:numFmt w:val="decimal"/>
        <w:lvlText w:val="%1."/>
        <w:lvlJc w:val="left"/>
        <w:pPr>
          <w:ind w:left="1967" w:hanging="360"/>
        </w:pPr>
        <w:rPr>
          <w:rFonts w:hint="default"/>
          <w:i w:val="0"/>
        </w:rPr>
      </w:lvl>
    </w:lvlOverride>
  </w:num>
  <w:num w:numId="18" w16cid:durableId="2091390358">
    <w:abstractNumId w:val="5"/>
    <w:lvlOverride w:ilvl="0">
      <w:lvl w:ilvl="0" w:tplc="9EAA5EB0">
        <w:start w:val="1"/>
        <w:numFmt w:val="decimal"/>
        <w:lvlText w:val="%1."/>
        <w:lvlJc w:val="left"/>
        <w:pPr>
          <w:ind w:left="3215" w:hanging="360"/>
        </w:pPr>
        <w:rPr>
          <w:i w:val="0"/>
          <w:iCs w:val="0"/>
        </w:rPr>
      </w:lvl>
    </w:lvlOverride>
  </w:num>
  <w:num w:numId="19" w16cid:durableId="106121009">
    <w:abstractNumId w:val="9"/>
    <w:lvlOverride w:ilvl="0">
      <w:lvl w:ilvl="0" w:tplc="78083696">
        <w:start w:val="1"/>
        <w:numFmt w:val="lowerLetter"/>
        <w:lvlText w:val="(%1)"/>
        <w:lvlJc w:val="left"/>
        <w:pPr>
          <w:ind w:left="3215" w:hanging="360"/>
        </w:pPr>
        <w:rPr>
          <w:rFonts w:hint="default"/>
        </w:rPr>
      </w:lvl>
    </w:lvlOverride>
  </w:num>
  <w:num w:numId="20" w16cid:durableId="1782988299">
    <w:abstractNumId w:val="8"/>
    <w:lvlOverride w:ilvl="0">
      <w:lvl w:ilvl="0" w:tplc="B776CA36">
        <w:start w:val="1"/>
        <w:numFmt w:val="lowerLetter"/>
        <w:lvlText w:val="(%1)"/>
        <w:lvlJc w:val="left"/>
        <w:pPr>
          <w:ind w:left="720" w:hanging="360"/>
        </w:pPr>
        <w:rPr>
          <w:rFonts w:hint="default"/>
        </w:rPr>
      </w:lvl>
    </w:lvlOverride>
  </w:num>
  <w:num w:numId="21" w16cid:durableId="923420446">
    <w:abstractNumId w:val="4"/>
    <w:lvlOverride w:ilvl="0">
      <w:lvl w:ilvl="0" w:tplc="E7809AC0">
        <w:start w:val="1"/>
        <w:numFmt w:val="decimal"/>
        <w:lvlText w:val="%1."/>
        <w:lvlJc w:val="left"/>
        <w:pPr>
          <w:ind w:left="3215" w:hanging="360"/>
        </w:pPr>
        <w:rPr>
          <w:rFonts w:ascii="Times New Roman" w:hAnsi="Times New Roman" w:cs="Times New Roman" w:hint="default"/>
          <w:i w:val="0"/>
          <w:iCs w:val="0"/>
        </w:rPr>
      </w:lvl>
    </w:lvlOverride>
    <w:lvlOverride w:ilvl="1">
      <w:lvl w:ilvl="1" w:tplc="B776CA36">
        <w:start w:val="1"/>
        <w:numFmt w:val="lowerLetter"/>
        <w:lvlText w:val="%1.%2."/>
        <w:lvlJc w:val="left"/>
        <w:pPr>
          <w:ind w:left="3935"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36526A"/>
    <w:rsid w:val="003D5C43"/>
    <w:rsid w:val="006279A8"/>
    <w:rsid w:val="007A6A20"/>
    <w:rsid w:val="00836B73"/>
    <w:rsid w:val="009A214F"/>
    <w:rsid w:val="00C84536"/>
    <w:rsid w:val="00D857FB"/>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 w:type="paragraph" w:customStyle="1" w:styleId="NormalNonumber">
    <w:name w:val="Normal_No_number"/>
    <w:basedOn w:val="Normal-pool"/>
    <w:qFormat/>
    <w:rsid w:val="0036526A"/>
    <w:pPr>
      <w:spacing w:after="120"/>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2023-04-25T09:47:00Z</dcterms:created>
  <dcterms:modified xsi:type="dcterms:W3CDTF">2023-04-25T09:47:00Z</dcterms:modified>
</cp:coreProperties>
</file>