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5E037" w14:textId="77777777" w:rsidR="001B3A5F" w:rsidRPr="00B831E7" w:rsidRDefault="001B3A5F" w:rsidP="001B3A5F">
      <w:pPr>
        <w:pStyle w:val="CH1"/>
        <w:spacing w:before="0"/>
      </w:pPr>
      <w:r w:rsidRPr="00B831E7">
        <w:tab/>
      </w:r>
      <w:r w:rsidRPr="00B831E7">
        <w:tab/>
        <w:t xml:space="preserve">BC-15/13: National reporting </w:t>
      </w:r>
    </w:p>
    <w:p w14:paraId="0F775DAC" w14:textId="77777777" w:rsidR="001B3A5F" w:rsidRPr="00B831E7" w:rsidRDefault="001B3A5F" w:rsidP="001B3A5F">
      <w:pPr>
        <w:pStyle w:val="Normal-pool"/>
        <w:tabs>
          <w:tab w:val="clear" w:pos="1247"/>
          <w:tab w:val="clear" w:pos="1814"/>
        </w:tabs>
        <w:spacing w:after="120"/>
        <w:ind w:left="1247" w:firstLine="624"/>
        <w:rPr>
          <w:i/>
          <w:iCs/>
        </w:rPr>
      </w:pPr>
      <w:r w:rsidRPr="00B831E7">
        <w:rPr>
          <w:i/>
          <w:iCs/>
        </w:rPr>
        <w:t xml:space="preserve">The Conference of the Parties </w:t>
      </w:r>
    </w:p>
    <w:p w14:paraId="71515218" w14:textId="77777777" w:rsidR="001B3A5F" w:rsidRPr="00B831E7" w:rsidRDefault="001B3A5F" w:rsidP="001B3A5F">
      <w:pPr>
        <w:pStyle w:val="Normal-pool"/>
        <w:numPr>
          <w:ilvl w:val="0"/>
          <w:numId w:val="11"/>
        </w:numPr>
        <w:tabs>
          <w:tab w:val="clear" w:pos="1247"/>
          <w:tab w:val="clear" w:pos="1814"/>
          <w:tab w:val="clear" w:pos="2381"/>
          <w:tab w:val="clear" w:pos="2948"/>
          <w:tab w:val="clear" w:pos="3515"/>
          <w:tab w:val="clear" w:pos="4082"/>
        </w:tabs>
        <w:spacing w:after="120"/>
        <w:ind w:left="1247" w:firstLine="624"/>
        <w:rPr>
          <w:i/>
          <w:iCs/>
        </w:rPr>
      </w:pPr>
      <w:r w:rsidRPr="00B831E7">
        <w:rPr>
          <w:i/>
          <w:iCs/>
        </w:rPr>
        <w:t>Takes note of:</w:t>
      </w:r>
    </w:p>
    <w:p w14:paraId="57C74EEA" w14:textId="77777777" w:rsidR="001B3A5F" w:rsidRPr="00B831E7" w:rsidRDefault="001B3A5F" w:rsidP="001B3A5F">
      <w:pPr>
        <w:pStyle w:val="Normal-pool"/>
        <w:numPr>
          <w:ilvl w:val="1"/>
          <w:numId w:val="11"/>
        </w:numPr>
        <w:tabs>
          <w:tab w:val="clear" w:pos="1247"/>
          <w:tab w:val="clear" w:pos="1814"/>
          <w:tab w:val="clear" w:pos="2381"/>
          <w:tab w:val="clear" w:pos="2948"/>
          <w:tab w:val="clear" w:pos="3515"/>
          <w:tab w:val="clear" w:pos="4082"/>
        </w:tabs>
        <w:spacing w:after="120"/>
        <w:ind w:left="1247" w:firstLine="624"/>
      </w:pPr>
      <w:r w:rsidRPr="00B831E7">
        <w:t>The updated electronic reporting system of the Basel Convention</w:t>
      </w:r>
      <w:r w:rsidRPr="00B831E7">
        <w:rPr>
          <w:i/>
        </w:rPr>
        <w:t xml:space="preserve"> </w:t>
      </w:r>
      <w:r w:rsidRPr="00B831E7">
        <w:rPr>
          <w:iCs/>
        </w:rPr>
        <w:t>on the Control of Transboundary Movements of Hazardous Wastes and Their Disposal;</w:t>
      </w:r>
      <w:r w:rsidRPr="00B831E7">
        <w:rPr>
          <w:iCs/>
          <w:vertAlign w:val="superscript"/>
        </w:rPr>
        <w:footnoteReference w:id="1"/>
      </w:r>
    </w:p>
    <w:p w14:paraId="142B4BF0" w14:textId="77777777" w:rsidR="001B3A5F" w:rsidRPr="00B831E7" w:rsidRDefault="001B3A5F" w:rsidP="001B3A5F">
      <w:pPr>
        <w:pStyle w:val="Normal-pool"/>
        <w:numPr>
          <w:ilvl w:val="1"/>
          <w:numId w:val="11"/>
        </w:numPr>
        <w:tabs>
          <w:tab w:val="clear" w:pos="1247"/>
          <w:tab w:val="clear" w:pos="1814"/>
          <w:tab w:val="clear" w:pos="2381"/>
          <w:tab w:val="clear" w:pos="2948"/>
          <w:tab w:val="clear" w:pos="3515"/>
          <w:tab w:val="clear" w:pos="4082"/>
        </w:tabs>
        <w:spacing w:after="120"/>
        <w:ind w:left="1247" w:firstLine="624"/>
      </w:pPr>
      <w:bookmarkStart w:id="0" w:name="_Hlk106803656"/>
      <w:bookmarkStart w:id="1" w:name="_Hlk106791424"/>
      <w:r w:rsidRPr="00B831E7">
        <w:t>The practical guidance on the development of inventories of plastic waste, obsolete pesticides and pesticide-container waste, and waste batteries containing lithium</w:t>
      </w:r>
      <w:bookmarkEnd w:id="0"/>
      <w:r w:rsidRPr="00B831E7">
        <w:t>;</w:t>
      </w:r>
      <w:r w:rsidRPr="00B831E7">
        <w:rPr>
          <w:vertAlign w:val="superscript"/>
        </w:rPr>
        <w:footnoteReference w:id="2"/>
      </w:r>
      <w:r w:rsidRPr="00B831E7">
        <w:t xml:space="preserve"> </w:t>
      </w:r>
      <w:bookmarkEnd w:id="1"/>
      <w:r w:rsidRPr="00B831E7">
        <w:t xml:space="preserve">and revised practical guidance </w:t>
      </w:r>
      <w:r w:rsidRPr="00B831E7">
        <w:rPr>
          <w:iCs/>
          <w:color w:val="000000"/>
        </w:rPr>
        <w:t xml:space="preserve">for the development of inventories of </w:t>
      </w:r>
      <w:r w:rsidRPr="00B831E7">
        <w:t>used lead-acid batteries and waste oils;</w:t>
      </w:r>
      <w:r w:rsidRPr="00B831E7">
        <w:rPr>
          <w:rStyle w:val="FootnoteReference"/>
        </w:rPr>
        <w:footnoteReference w:id="3"/>
      </w:r>
    </w:p>
    <w:p w14:paraId="5C0D035D" w14:textId="77777777" w:rsidR="001B3A5F" w:rsidRPr="00B831E7" w:rsidRDefault="001B3A5F" w:rsidP="001B3A5F">
      <w:pPr>
        <w:pStyle w:val="Normal-pool"/>
        <w:numPr>
          <w:ilvl w:val="0"/>
          <w:numId w:val="11"/>
        </w:numPr>
        <w:tabs>
          <w:tab w:val="clear" w:pos="1247"/>
          <w:tab w:val="clear" w:pos="1814"/>
          <w:tab w:val="clear" w:pos="2381"/>
          <w:tab w:val="clear" w:pos="2948"/>
          <w:tab w:val="clear" w:pos="3515"/>
          <w:tab w:val="clear" w:pos="4082"/>
        </w:tabs>
        <w:spacing w:after="120"/>
        <w:ind w:left="1247" w:firstLine="624"/>
        <w:rPr>
          <w:color w:val="000000"/>
        </w:rPr>
      </w:pPr>
      <w:r w:rsidRPr="00B831E7">
        <w:rPr>
          <w:i/>
          <w:color w:val="000000"/>
        </w:rPr>
        <w:t xml:space="preserve">Encourages </w:t>
      </w:r>
      <w:r w:rsidRPr="00B831E7">
        <w:rPr>
          <w:color w:val="000000"/>
        </w:rPr>
        <w:t xml:space="preserve">Parties that have not yet done so to transmit to the Secretariat their national reports for the year 2020 and for previous years </w:t>
      </w:r>
      <w:proofErr w:type="gramStart"/>
      <w:r w:rsidRPr="00B831E7">
        <w:rPr>
          <w:color w:val="000000"/>
        </w:rPr>
        <w:t>as soon as possible;</w:t>
      </w:r>
      <w:proofErr w:type="gramEnd"/>
    </w:p>
    <w:p w14:paraId="7A46E411" w14:textId="77777777" w:rsidR="001B3A5F" w:rsidRPr="00B831E7" w:rsidRDefault="001B3A5F" w:rsidP="001B3A5F">
      <w:pPr>
        <w:pStyle w:val="Normal-pool"/>
        <w:numPr>
          <w:ilvl w:val="0"/>
          <w:numId w:val="11"/>
        </w:numPr>
        <w:tabs>
          <w:tab w:val="clear" w:pos="1247"/>
          <w:tab w:val="clear" w:pos="1814"/>
          <w:tab w:val="clear" w:pos="2381"/>
          <w:tab w:val="clear" w:pos="2948"/>
          <w:tab w:val="clear" w:pos="3515"/>
          <w:tab w:val="clear" w:pos="4082"/>
        </w:tabs>
        <w:spacing w:after="120"/>
        <w:ind w:left="1247" w:firstLine="624"/>
        <w:rPr>
          <w:color w:val="000000"/>
        </w:rPr>
      </w:pPr>
      <w:r w:rsidRPr="00B831E7">
        <w:rPr>
          <w:i/>
          <w:color w:val="000000"/>
        </w:rPr>
        <w:t xml:space="preserve">Invites </w:t>
      </w:r>
      <w:r w:rsidRPr="00B831E7">
        <w:rPr>
          <w:iCs/>
          <w:color w:val="000000"/>
        </w:rPr>
        <w:t xml:space="preserve">Parties to include information on </w:t>
      </w:r>
      <w:r w:rsidRPr="00B831E7">
        <w:t>waste generation</w:t>
      </w:r>
      <w:r w:rsidRPr="00B831E7">
        <w:rPr>
          <w:iCs/>
          <w:color w:val="000000"/>
        </w:rPr>
        <w:t xml:space="preserve"> in their national reports </w:t>
      </w:r>
      <w:r w:rsidRPr="00B831E7">
        <w:t xml:space="preserve">at least once every four </w:t>
      </w:r>
      <w:proofErr w:type="gramStart"/>
      <w:r w:rsidRPr="00B831E7">
        <w:t>years;</w:t>
      </w:r>
      <w:proofErr w:type="gramEnd"/>
    </w:p>
    <w:p w14:paraId="0CA865DA" w14:textId="77777777" w:rsidR="001B3A5F" w:rsidRPr="00B831E7" w:rsidRDefault="001B3A5F" w:rsidP="001B3A5F">
      <w:pPr>
        <w:pStyle w:val="Normal-pool"/>
        <w:numPr>
          <w:ilvl w:val="0"/>
          <w:numId w:val="11"/>
        </w:numPr>
        <w:tabs>
          <w:tab w:val="clear" w:pos="1247"/>
          <w:tab w:val="clear" w:pos="1814"/>
          <w:tab w:val="clear" w:pos="2381"/>
          <w:tab w:val="clear" w:pos="2948"/>
          <w:tab w:val="clear" w:pos="3515"/>
          <w:tab w:val="clear" w:pos="4082"/>
        </w:tabs>
        <w:spacing w:after="120"/>
        <w:ind w:left="1247" w:firstLine="624"/>
        <w:rPr>
          <w:color w:val="000000"/>
        </w:rPr>
      </w:pPr>
      <w:bookmarkStart w:id="3" w:name="_Hlk106791411"/>
      <w:r w:rsidRPr="00B831E7">
        <w:rPr>
          <w:i/>
        </w:rPr>
        <w:t>Invites</w:t>
      </w:r>
      <w:r w:rsidRPr="00B831E7">
        <w:t xml:space="preserve"> Parties and others to make use of the practical guidance referred to in paragraph 1 (b) of the present decision and to inform the Secretariat of their experience in doing so by 31 December </w:t>
      </w:r>
      <w:proofErr w:type="gramStart"/>
      <w:r w:rsidRPr="00B831E7">
        <w:t>2023;</w:t>
      </w:r>
      <w:proofErr w:type="gramEnd"/>
    </w:p>
    <w:bookmarkEnd w:id="3"/>
    <w:p w14:paraId="33581178" w14:textId="77777777" w:rsidR="001B3A5F" w:rsidRPr="00B831E7" w:rsidRDefault="001B3A5F" w:rsidP="001B3A5F">
      <w:pPr>
        <w:pStyle w:val="Normal-pool"/>
        <w:numPr>
          <w:ilvl w:val="0"/>
          <w:numId w:val="11"/>
        </w:numPr>
        <w:tabs>
          <w:tab w:val="clear" w:pos="1247"/>
          <w:tab w:val="clear" w:pos="1814"/>
          <w:tab w:val="clear" w:pos="2381"/>
          <w:tab w:val="clear" w:pos="2948"/>
          <w:tab w:val="clear" w:pos="3515"/>
          <w:tab w:val="clear" w:pos="4082"/>
        </w:tabs>
        <w:spacing w:after="120"/>
        <w:ind w:left="1247" w:firstLine="624"/>
        <w:rPr>
          <w:color w:val="000000"/>
        </w:rPr>
      </w:pPr>
      <w:r w:rsidRPr="00B831E7">
        <w:rPr>
          <w:i/>
          <w:iCs/>
          <w:color w:val="000000"/>
        </w:rPr>
        <w:t xml:space="preserve">Requests </w:t>
      </w:r>
      <w:r w:rsidRPr="00B831E7">
        <w:rPr>
          <w:iCs/>
          <w:color w:val="000000"/>
        </w:rPr>
        <w:t>the Secretariat:</w:t>
      </w:r>
    </w:p>
    <w:p w14:paraId="54A3080D" w14:textId="77777777" w:rsidR="001B3A5F" w:rsidRPr="00B831E7" w:rsidRDefault="001B3A5F" w:rsidP="001B3A5F">
      <w:pPr>
        <w:pStyle w:val="Normal-pool"/>
        <w:numPr>
          <w:ilvl w:val="0"/>
          <w:numId w:val="10"/>
        </w:numPr>
        <w:tabs>
          <w:tab w:val="clear" w:pos="1247"/>
          <w:tab w:val="clear" w:pos="1814"/>
          <w:tab w:val="clear" w:pos="2381"/>
          <w:tab w:val="clear" w:pos="2948"/>
          <w:tab w:val="clear" w:pos="3515"/>
          <w:tab w:val="clear" w:pos="4082"/>
        </w:tabs>
        <w:spacing w:after="120"/>
        <w:ind w:left="1247" w:firstLine="624"/>
      </w:pPr>
      <w:r w:rsidRPr="00B831E7">
        <w:t xml:space="preserve">To continue to develop the electronic reporting system and to support Parties in using </w:t>
      </w:r>
      <w:proofErr w:type="gramStart"/>
      <w:r w:rsidRPr="00B831E7">
        <w:t>it;</w:t>
      </w:r>
      <w:proofErr w:type="gramEnd"/>
    </w:p>
    <w:p w14:paraId="0D78C44D" w14:textId="77777777" w:rsidR="001B3A5F" w:rsidRPr="00B831E7" w:rsidRDefault="001B3A5F" w:rsidP="001B3A5F">
      <w:pPr>
        <w:pStyle w:val="Normal-pool"/>
        <w:numPr>
          <w:ilvl w:val="0"/>
          <w:numId w:val="10"/>
        </w:numPr>
        <w:tabs>
          <w:tab w:val="clear" w:pos="1247"/>
          <w:tab w:val="clear" w:pos="1814"/>
          <w:tab w:val="clear" w:pos="2381"/>
          <w:tab w:val="clear" w:pos="2948"/>
          <w:tab w:val="clear" w:pos="3515"/>
          <w:tab w:val="clear" w:pos="4082"/>
        </w:tabs>
        <w:spacing w:after="120"/>
        <w:ind w:left="1247" w:firstLine="624"/>
      </w:pPr>
      <w:proofErr w:type="gramStart"/>
      <w:r w:rsidRPr="00B831E7">
        <w:t>Also</w:t>
      </w:r>
      <w:proofErr w:type="gramEnd"/>
      <w:r w:rsidRPr="00B831E7">
        <w:t xml:space="preserve"> to continue to develop, subject to the availability of resources, practical guidance on the development of inventories for waste streams considered to be of medium priority, in accordance with decision BC-14/10, for consideration by the Conference of the Parties at its sixteenth meeting;</w:t>
      </w:r>
    </w:p>
    <w:p w14:paraId="6D0F6ED3" w14:textId="77777777" w:rsidR="001B3A5F" w:rsidRPr="00B831E7" w:rsidRDefault="001B3A5F" w:rsidP="001B3A5F">
      <w:pPr>
        <w:pStyle w:val="Normal-pool"/>
        <w:numPr>
          <w:ilvl w:val="0"/>
          <w:numId w:val="10"/>
        </w:numPr>
        <w:tabs>
          <w:tab w:val="clear" w:pos="1247"/>
          <w:tab w:val="clear" w:pos="1814"/>
          <w:tab w:val="clear" w:pos="2381"/>
          <w:tab w:val="clear" w:pos="2948"/>
          <w:tab w:val="clear" w:pos="3515"/>
          <w:tab w:val="clear" w:pos="4082"/>
        </w:tabs>
        <w:spacing w:after="120"/>
        <w:ind w:left="1247" w:firstLine="624"/>
        <w:rPr>
          <w:color w:val="000000"/>
        </w:rPr>
      </w:pPr>
      <w:r w:rsidRPr="00B831E7">
        <w:t xml:space="preserve">To make available in the six official languages of the United Nations, subject to the availability of resources, the </w:t>
      </w:r>
      <w:r w:rsidRPr="00B831E7">
        <w:rPr>
          <w:iCs/>
          <w:color w:val="000000"/>
        </w:rPr>
        <w:t xml:space="preserve">practical guidance on the development of inventories of </w:t>
      </w:r>
      <w:r w:rsidRPr="00B831E7">
        <w:t xml:space="preserve">plastic waste, obsolete pesticides and pesticide-container waste, and waste batteries containing lithium, referred to in paragraph 1 (b) of the present decision, to enhance its use by </w:t>
      </w:r>
      <w:proofErr w:type="gramStart"/>
      <w:r w:rsidRPr="00B831E7">
        <w:t>Parties;</w:t>
      </w:r>
      <w:proofErr w:type="gramEnd"/>
      <w:r w:rsidRPr="00B831E7">
        <w:t xml:space="preserve"> </w:t>
      </w:r>
    </w:p>
    <w:p w14:paraId="041B7EFB" w14:textId="77777777" w:rsidR="001B3A5F" w:rsidRPr="00B831E7" w:rsidRDefault="001B3A5F" w:rsidP="001B3A5F">
      <w:pPr>
        <w:pStyle w:val="Normal-pool"/>
        <w:numPr>
          <w:ilvl w:val="0"/>
          <w:numId w:val="10"/>
        </w:numPr>
        <w:tabs>
          <w:tab w:val="clear" w:pos="1247"/>
          <w:tab w:val="clear" w:pos="1814"/>
          <w:tab w:val="clear" w:pos="2381"/>
          <w:tab w:val="clear" w:pos="2948"/>
          <w:tab w:val="clear" w:pos="3515"/>
          <w:tab w:val="clear" w:pos="4082"/>
        </w:tabs>
        <w:spacing w:after="120"/>
        <w:ind w:left="1247" w:firstLine="624"/>
        <w:rPr>
          <w:color w:val="000000"/>
        </w:rPr>
      </w:pPr>
      <w:bookmarkStart w:id="4" w:name="_Hlk533166062"/>
      <w:r w:rsidRPr="00B831E7">
        <w:t>To undertake, subject to the availability of resources, pilot projects to test the p</w:t>
      </w:r>
      <w:r w:rsidRPr="00B831E7">
        <w:rPr>
          <w:iCs/>
          <w:color w:val="000000"/>
        </w:rPr>
        <w:t>ractical guidance on the development of an inventory of</w:t>
      </w:r>
      <w:r w:rsidRPr="00B831E7">
        <w:t xml:space="preserve"> plastic waste, obsolete pesticides and pesticide</w:t>
      </w:r>
      <w:r w:rsidRPr="00B831E7">
        <w:noBreakHyphen/>
        <w:t xml:space="preserve">container waste, and waste batteries containing lithium, and to prepare, on the basis of the outcomes of those projects and comments received by Parties and observers on their experience in using the guidance, revised practical guidance for consideration by the Conference of the Parties at its seventeenth </w:t>
      </w:r>
      <w:r w:rsidRPr="00B831E7">
        <w:rPr>
          <w:iCs/>
          <w:color w:val="000000"/>
        </w:rPr>
        <w:t>meeting</w:t>
      </w:r>
      <w:r w:rsidRPr="00B831E7">
        <w:t>;</w:t>
      </w:r>
    </w:p>
    <w:p w14:paraId="2DE30D12" w14:textId="77777777" w:rsidR="001B3A5F" w:rsidRPr="00B831E7" w:rsidRDefault="001B3A5F" w:rsidP="001B3A5F">
      <w:pPr>
        <w:pStyle w:val="Normal-pool"/>
        <w:numPr>
          <w:ilvl w:val="0"/>
          <w:numId w:val="10"/>
        </w:numPr>
        <w:tabs>
          <w:tab w:val="clear" w:pos="1247"/>
          <w:tab w:val="clear" w:pos="1814"/>
          <w:tab w:val="clear" w:pos="2381"/>
          <w:tab w:val="clear" w:pos="2948"/>
          <w:tab w:val="clear" w:pos="3515"/>
          <w:tab w:val="clear" w:pos="4082"/>
        </w:tabs>
        <w:spacing w:after="120"/>
        <w:ind w:left="1247" w:firstLine="624"/>
      </w:pPr>
      <w:r w:rsidRPr="00B831E7">
        <w:t xml:space="preserve">To widely disseminate the </w:t>
      </w:r>
      <w:r w:rsidRPr="00B831E7">
        <w:rPr>
          <w:i/>
        </w:rPr>
        <w:t>Waste Without Frontiers II</w:t>
      </w:r>
      <w:r w:rsidRPr="00B831E7">
        <w:t xml:space="preserve"> report,</w:t>
      </w:r>
      <w:r w:rsidRPr="00B831E7">
        <w:rPr>
          <w:vertAlign w:val="superscript"/>
        </w:rPr>
        <w:footnoteReference w:id="4"/>
      </w:r>
      <w:r w:rsidRPr="00B831E7">
        <w:t xml:space="preserve"> subject to the availability of </w:t>
      </w:r>
      <w:proofErr w:type="gramStart"/>
      <w:r w:rsidRPr="00B831E7">
        <w:t>resources;</w:t>
      </w:r>
      <w:proofErr w:type="gramEnd"/>
    </w:p>
    <w:p w14:paraId="7A79339E" w14:textId="77777777" w:rsidR="001B3A5F" w:rsidRPr="00B831E7" w:rsidRDefault="001B3A5F" w:rsidP="001B3A5F">
      <w:pPr>
        <w:pStyle w:val="Normal-pool"/>
        <w:numPr>
          <w:ilvl w:val="0"/>
          <w:numId w:val="10"/>
        </w:numPr>
        <w:tabs>
          <w:tab w:val="clear" w:pos="1247"/>
          <w:tab w:val="clear" w:pos="1814"/>
          <w:tab w:val="clear" w:pos="2381"/>
          <w:tab w:val="clear" w:pos="2948"/>
          <w:tab w:val="clear" w:pos="3515"/>
          <w:tab w:val="clear" w:pos="4082"/>
        </w:tabs>
        <w:spacing w:after="120"/>
        <w:ind w:left="1247" w:firstLine="624"/>
      </w:pPr>
      <w:r w:rsidRPr="00B831E7">
        <w:t>To continue, subject to the availability of resources, to provide training to developing countries and other countries that need assistance to meet their reporting obligations, in cooperation with the Basel Convention regional and coordinating centres, and in doing so to prioritize capacity</w:t>
      </w:r>
      <w:r w:rsidRPr="00B831E7">
        <w:noBreakHyphen/>
        <w:t>building for Parties to develop national inventories and national legislation hand in hand, in order to build on the approach taken by the Committee Administering the Mechanism for Promoting Implementation and Compliance;</w:t>
      </w:r>
      <w:r w:rsidRPr="00B831E7">
        <w:rPr>
          <w:vertAlign w:val="superscript"/>
        </w:rPr>
        <w:footnoteReference w:id="5"/>
      </w:r>
    </w:p>
    <w:bookmarkEnd w:id="4"/>
    <w:p w14:paraId="1D7F4CB3" w14:textId="550F4374" w:rsidR="00F935A6" w:rsidRPr="001B3A5F" w:rsidRDefault="001B3A5F" w:rsidP="001B3A5F">
      <w:pPr>
        <w:pStyle w:val="Normal-pool"/>
        <w:numPr>
          <w:ilvl w:val="0"/>
          <w:numId w:val="10"/>
        </w:numPr>
        <w:tabs>
          <w:tab w:val="clear" w:pos="1247"/>
          <w:tab w:val="clear" w:pos="1814"/>
          <w:tab w:val="clear" w:pos="2381"/>
          <w:tab w:val="clear" w:pos="2948"/>
          <w:tab w:val="clear" w:pos="3515"/>
          <w:tab w:val="clear" w:pos="4082"/>
        </w:tabs>
        <w:spacing w:after="120"/>
        <w:ind w:left="1247" w:firstLine="624"/>
      </w:pPr>
      <w:r w:rsidRPr="00B831E7">
        <w:t>To report to the Conference of the Parties at its sixteenth meeting on the implementation of the present decision.</w:t>
      </w:r>
    </w:p>
    <w:sectPr w:rsidR="00F935A6" w:rsidRPr="001B3A5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5D859" w14:textId="77777777" w:rsidR="00254AFB" w:rsidRDefault="00254AFB" w:rsidP="004956AB">
      <w:r>
        <w:separator/>
      </w:r>
    </w:p>
  </w:endnote>
  <w:endnote w:type="continuationSeparator" w:id="0">
    <w:p w14:paraId="015891EC" w14:textId="77777777" w:rsidR="00254AFB" w:rsidRDefault="00254AFB" w:rsidP="00495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3824F" w14:textId="77777777" w:rsidR="00254AFB" w:rsidRDefault="00254AFB" w:rsidP="004956AB">
      <w:r>
        <w:separator/>
      </w:r>
    </w:p>
  </w:footnote>
  <w:footnote w:type="continuationSeparator" w:id="0">
    <w:p w14:paraId="4DD9CF92" w14:textId="77777777" w:rsidR="00254AFB" w:rsidRDefault="00254AFB" w:rsidP="004956AB">
      <w:r>
        <w:continuationSeparator/>
      </w:r>
    </w:p>
  </w:footnote>
  <w:footnote w:id="1">
    <w:p w14:paraId="260EFE50" w14:textId="77777777" w:rsidR="001B3A5F" w:rsidRPr="000629DC" w:rsidRDefault="001B3A5F" w:rsidP="001B3A5F">
      <w:pPr>
        <w:pStyle w:val="Footnote-Text"/>
        <w:rPr>
          <w:szCs w:val="18"/>
        </w:rPr>
      </w:pPr>
      <w:r w:rsidRPr="000629DC">
        <w:rPr>
          <w:szCs w:val="18"/>
          <w:vertAlign w:val="superscript"/>
        </w:rPr>
        <w:footnoteRef/>
      </w:r>
      <w:r w:rsidRPr="000629DC">
        <w:rPr>
          <w:szCs w:val="18"/>
        </w:rPr>
        <w:t xml:space="preserve"> www.basel.int/Countries/NationalReporting/tabid/3356/Default.aspx.</w:t>
      </w:r>
    </w:p>
  </w:footnote>
  <w:footnote w:id="2">
    <w:p w14:paraId="283F0154" w14:textId="77777777" w:rsidR="001B3A5F" w:rsidRPr="000629DC" w:rsidRDefault="001B3A5F" w:rsidP="001B3A5F">
      <w:pPr>
        <w:pStyle w:val="Footnote-Text"/>
        <w:rPr>
          <w:szCs w:val="18"/>
        </w:rPr>
      </w:pPr>
      <w:r w:rsidRPr="000629DC">
        <w:rPr>
          <w:szCs w:val="18"/>
          <w:vertAlign w:val="superscript"/>
        </w:rPr>
        <w:footnoteRef/>
      </w:r>
      <w:r w:rsidRPr="000629DC">
        <w:rPr>
          <w:szCs w:val="18"/>
        </w:rPr>
        <w:t xml:space="preserve"> </w:t>
      </w:r>
      <w:bookmarkStart w:id="2" w:name="_Hlk106803639"/>
      <w:r w:rsidRPr="000629DC">
        <w:rPr>
          <w:szCs w:val="18"/>
        </w:rPr>
        <w:t>UNEP/CHW.15/INF/19/Rev.1, UNEP/CHW.15/INF/50/Rev.1 and UNEP/CHW.15/INF/51/Rev.1.</w:t>
      </w:r>
      <w:bookmarkEnd w:id="2"/>
    </w:p>
  </w:footnote>
  <w:footnote w:id="3">
    <w:p w14:paraId="1422CB2F" w14:textId="77777777" w:rsidR="001B3A5F" w:rsidRPr="000629DC" w:rsidRDefault="001B3A5F" w:rsidP="001B3A5F">
      <w:pPr>
        <w:pStyle w:val="Footnote-Text"/>
        <w:rPr>
          <w:szCs w:val="18"/>
        </w:rPr>
      </w:pPr>
      <w:r w:rsidRPr="000629DC">
        <w:rPr>
          <w:rStyle w:val="FootnoteReference"/>
        </w:rPr>
        <w:footnoteRef/>
      </w:r>
      <w:r w:rsidRPr="000629DC">
        <w:rPr>
          <w:szCs w:val="18"/>
        </w:rPr>
        <w:t xml:space="preserve"> UNEP/CHW.15/INF/61.</w:t>
      </w:r>
    </w:p>
  </w:footnote>
  <w:footnote w:id="4">
    <w:p w14:paraId="15D9917C" w14:textId="77777777" w:rsidR="001B3A5F" w:rsidRPr="000629DC" w:rsidRDefault="001B3A5F" w:rsidP="001B3A5F">
      <w:pPr>
        <w:pStyle w:val="Footnote-Text"/>
        <w:rPr>
          <w:szCs w:val="18"/>
        </w:rPr>
      </w:pPr>
      <w:r w:rsidRPr="000629DC">
        <w:rPr>
          <w:szCs w:val="18"/>
          <w:vertAlign w:val="superscript"/>
        </w:rPr>
        <w:footnoteRef/>
      </w:r>
      <w:r w:rsidRPr="000629DC">
        <w:rPr>
          <w:szCs w:val="18"/>
        </w:rPr>
        <w:t xml:space="preserve"> www.basel.int/Implementation/Publications/Other/tabid/2470/Default.aspx.</w:t>
      </w:r>
    </w:p>
  </w:footnote>
  <w:footnote w:id="5">
    <w:p w14:paraId="56AEF97E" w14:textId="77777777" w:rsidR="001B3A5F" w:rsidRPr="000629DC" w:rsidRDefault="001B3A5F" w:rsidP="001B3A5F">
      <w:pPr>
        <w:pStyle w:val="Footnote-Text"/>
        <w:rPr>
          <w:szCs w:val="18"/>
        </w:rPr>
      </w:pPr>
      <w:r w:rsidRPr="000629DC">
        <w:rPr>
          <w:szCs w:val="18"/>
          <w:vertAlign w:val="superscript"/>
        </w:rPr>
        <w:footnoteRef/>
      </w:r>
      <w:r w:rsidRPr="000629DC">
        <w:rPr>
          <w:szCs w:val="18"/>
        </w:rPr>
        <w:t xml:space="preserve"> www.basel.int/Implementation/LegalMatters/Compliance/SpecificSubmissionsActivities/</w:t>
      </w:r>
      <w:r w:rsidRPr="000629DC">
        <w:rPr>
          <w:szCs w:val="18"/>
        </w:rPr>
        <w:br/>
      </w:r>
      <w:proofErr w:type="spellStart"/>
      <w:r w:rsidRPr="000629DC">
        <w:rPr>
          <w:szCs w:val="18"/>
        </w:rPr>
        <w:t>Currentsubmissions</w:t>
      </w:r>
      <w:proofErr w:type="spellEnd"/>
      <w:r w:rsidRPr="000629DC">
        <w:rPr>
          <w:szCs w:val="18"/>
        </w:rPr>
        <w:t>/tabid/2310/Default.aspx.</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B758D2"/>
    <w:multiLevelType w:val="hybridMultilevel"/>
    <w:tmpl w:val="96E2F374"/>
    <w:lvl w:ilvl="0" w:tplc="0B82E39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D6D191A"/>
    <w:multiLevelType w:val="hybridMultilevel"/>
    <w:tmpl w:val="B252704A"/>
    <w:lvl w:ilvl="0" w:tplc="2F426988">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3C62AE9"/>
    <w:multiLevelType w:val="hybridMultilevel"/>
    <w:tmpl w:val="741AAEAC"/>
    <w:lvl w:ilvl="0" w:tplc="F8B4A356">
      <w:start w:val="1"/>
      <w:numFmt w:val="decimal"/>
      <w:lvlText w:val="%1."/>
      <w:lvlJc w:val="left"/>
      <w:pPr>
        <w:ind w:left="3215" w:hanging="360"/>
      </w:pPr>
      <w:rPr>
        <w:i w:val="0"/>
        <w:iCs w:val="0"/>
      </w:rPr>
    </w:lvl>
    <w:lvl w:ilvl="1" w:tplc="B776CA3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3" w15:restartNumberingAfterBreak="0">
    <w:nsid w:val="28806E7D"/>
    <w:multiLevelType w:val="hybridMultilevel"/>
    <w:tmpl w:val="3ED8429A"/>
    <w:lvl w:ilvl="0" w:tplc="9EAA5EB0">
      <w:start w:val="1"/>
      <w:numFmt w:val="decimal"/>
      <w:lvlText w:val="%1."/>
      <w:lvlJc w:val="left"/>
      <w:pPr>
        <w:ind w:left="3215" w:hanging="360"/>
      </w:pPr>
      <w:rPr>
        <w:i w:val="0"/>
        <w:iCs w:val="0"/>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4"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7672EEF"/>
    <w:multiLevelType w:val="hybridMultilevel"/>
    <w:tmpl w:val="CBAC362C"/>
    <w:lvl w:ilvl="0" w:tplc="FFFFFFFF">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ACB3B27"/>
    <w:multiLevelType w:val="hybridMultilevel"/>
    <w:tmpl w:val="25F47B44"/>
    <w:lvl w:ilvl="0" w:tplc="B776CA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E3C42C8"/>
    <w:multiLevelType w:val="hybridMultilevel"/>
    <w:tmpl w:val="8298A94C"/>
    <w:lvl w:ilvl="0" w:tplc="78083696">
      <w:start w:val="1"/>
      <w:numFmt w:val="lowerLetter"/>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8" w15:restartNumberingAfterBreak="0">
    <w:nsid w:val="54FA404E"/>
    <w:multiLevelType w:val="hybridMultilevel"/>
    <w:tmpl w:val="6C66F0D0"/>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49535577">
    <w:abstractNumId w:val="4"/>
  </w:num>
  <w:num w:numId="2" w16cid:durableId="1473252469">
    <w:abstractNumId w:val="0"/>
  </w:num>
  <w:num w:numId="3" w16cid:durableId="1856917451">
    <w:abstractNumId w:val="10"/>
  </w:num>
  <w:num w:numId="4" w16cid:durableId="1559896294">
    <w:abstractNumId w:val="8"/>
  </w:num>
  <w:num w:numId="5" w16cid:durableId="1636064875">
    <w:abstractNumId w:val="1"/>
  </w:num>
  <w:num w:numId="6" w16cid:durableId="1075932777">
    <w:abstractNumId w:val="9"/>
  </w:num>
  <w:num w:numId="7" w16cid:durableId="1541168782">
    <w:abstractNumId w:val="5"/>
  </w:num>
  <w:num w:numId="8" w16cid:durableId="761536350">
    <w:abstractNumId w:val="3"/>
  </w:num>
  <w:num w:numId="9" w16cid:durableId="252052453">
    <w:abstractNumId w:val="7"/>
  </w:num>
  <w:num w:numId="10" w16cid:durableId="1032876827">
    <w:abstractNumId w:val="6"/>
  </w:num>
  <w:num w:numId="11" w16cid:durableId="6570732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420"/>
    <w:rsid w:val="001B3A5F"/>
    <w:rsid w:val="00254AFB"/>
    <w:rsid w:val="004956AB"/>
    <w:rsid w:val="00542DFC"/>
    <w:rsid w:val="00836B73"/>
    <w:rsid w:val="00884140"/>
    <w:rsid w:val="00C24420"/>
    <w:rsid w:val="00C84536"/>
    <w:rsid w:val="00DF06CA"/>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553FE"/>
  <w15:chartTrackingRefBased/>
  <w15:docId w15:val="{29F0F80D-C39A-4C41-B138-C515ABFD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24420"/>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pool"/>
    <w:next w:val="Normal"/>
    <w:qFormat/>
    <w:rsid w:val="00C24420"/>
    <w:pPr>
      <w:keepNext/>
      <w:keepLines/>
      <w:tabs>
        <w:tab w:val="clear" w:pos="624"/>
        <w:tab w:val="right" w:pos="851"/>
      </w:tabs>
      <w:suppressAutoHyphens/>
      <w:spacing w:before="240" w:after="120"/>
      <w:ind w:left="1247" w:right="284" w:hanging="1247"/>
    </w:pPr>
    <w:rPr>
      <w:b/>
      <w:sz w:val="28"/>
      <w:szCs w:val="28"/>
    </w:rPr>
  </w:style>
  <w:style w:type="paragraph" w:customStyle="1" w:styleId="Normal-pool">
    <w:name w:val="Normal-pool"/>
    <w:link w:val="Normal-poolChar"/>
    <w:qFormat/>
    <w:rsid w:val="00C24420"/>
    <w:pPr>
      <w:tabs>
        <w:tab w:val="left" w:pos="624"/>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locked/>
    <w:rsid w:val="00C24420"/>
    <w:rPr>
      <w:rFonts w:ascii="Times New Roman" w:eastAsia="Times New Roman" w:hAnsi="Times New Roman" w:cs="Times New Roman"/>
      <w:sz w:val="20"/>
      <w:szCs w:val="20"/>
      <w:lang w:val="en-GB" w:eastAsia="en-US"/>
    </w:rPr>
  </w:style>
  <w:style w:type="paragraph" w:customStyle="1" w:styleId="Footnote-Text">
    <w:name w:val="Footnote-Text"/>
    <w:basedOn w:val="Normal-pool"/>
    <w:rsid w:val="004956AB"/>
    <w:pPr>
      <w:spacing w:before="20" w:after="40"/>
      <w:ind w:left="1247"/>
    </w:pPr>
    <w:rPr>
      <w:sz w:val="18"/>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884140"/>
    <w:rPr>
      <w:szCs w:val="18"/>
      <w:vertAlign w:val="superscript"/>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884140"/>
    <w:pPr>
      <w:spacing w:before="120" w:after="160" w:line="240" w:lineRule="exact"/>
    </w:pPr>
    <w:rPr>
      <w:rFonts w:asciiTheme="minorHAnsi" w:eastAsiaTheme="minorEastAsia" w:hAnsiTheme="minorHAnsi" w:cstheme="minorBidi"/>
      <w:sz w:val="22"/>
      <w:szCs w:val="18"/>
      <w:vertAlign w:val="superscript"/>
      <w:lang w:eastAsia="zh-CN"/>
    </w:rPr>
  </w:style>
  <w:style w:type="paragraph" w:customStyle="1" w:styleId="NormalNonumber">
    <w:name w:val="Normal_No_number"/>
    <w:basedOn w:val="Normal-pool"/>
    <w:qFormat/>
    <w:rsid w:val="00DF06CA"/>
    <w:pPr>
      <w:ind w:left="124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447</Words>
  <Characters>2554</Characters>
  <Application>Microsoft Office Word</Application>
  <DocSecurity>0</DocSecurity>
  <Lines>21</Lines>
  <Paragraphs>5</Paragraphs>
  <ScaleCrop>false</ScaleCrop>
  <Company/>
  <LinksUpToDate>false</LinksUpToDate>
  <CharactersWithSpaces>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2023-04-24T13:02:00Z</dcterms:created>
  <dcterms:modified xsi:type="dcterms:W3CDTF">2023-04-24T13:02:00Z</dcterms:modified>
</cp:coreProperties>
</file>