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614DB1" w14:textId="77777777" w:rsidR="009B16ED" w:rsidRPr="003A2CB9" w:rsidRDefault="009B16ED" w:rsidP="009B16ED">
      <w:pPr>
        <w:suppressAutoHyphens/>
        <w:ind w:left="1247"/>
        <w:rPr>
          <w:rFonts w:eastAsia="Calibri"/>
          <w:b/>
          <w:sz w:val="28"/>
          <w:szCs w:val="28"/>
        </w:rPr>
      </w:pPr>
      <w:r w:rsidRPr="003A2CB9">
        <w:rPr>
          <w:rFonts w:eastAsia="Calibri"/>
          <w:b/>
          <w:sz w:val="28"/>
          <w:szCs w:val="28"/>
        </w:rPr>
        <w:tab/>
      </w:r>
      <w:r w:rsidRPr="003A2CB9">
        <w:rPr>
          <w:rFonts w:eastAsia="Calibri"/>
          <w:b/>
          <w:bCs/>
          <w:sz w:val="28"/>
          <w:szCs w:val="28"/>
        </w:rPr>
        <w:t>БК-15/13: Национальные доклады</w:t>
      </w:r>
      <w:r w:rsidRPr="003A2CB9">
        <w:rPr>
          <w:rFonts w:eastAsia="Calibri"/>
          <w:b/>
          <w:sz w:val="28"/>
          <w:szCs w:val="28"/>
        </w:rPr>
        <w:t xml:space="preserve"> </w:t>
      </w:r>
    </w:p>
    <w:p w14:paraId="54EE5F5C" w14:textId="77777777" w:rsidR="009B16ED" w:rsidRPr="003A2CB9" w:rsidRDefault="009B16ED" w:rsidP="009B16ED">
      <w:pPr>
        <w:ind w:left="1247" w:firstLine="624"/>
        <w:rPr>
          <w:rFonts w:eastAsia="Calibri"/>
          <w:i/>
          <w:iCs/>
        </w:rPr>
      </w:pPr>
      <w:r w:rsidRPr="003A2CB9">
        <w:rPr>
          <w:rFonts w:eastAsia="Calibri"/>
          <w:i/>
          <w:iCs/>
        </w:rPr>
        <w:t>Конференция Сторон,</w:t>
      </w:r>
      <w:r w:rsidRPr="003A2CB9">
        <w:rPr>
          <w:rFonts w:eastAsia="Calibri"/>
        </w:rPr>
        <w:t xml:space="preserve"> </w:t>
      </w:r>
    </w:p>
    <w:p w14:paraId="57CD2104" w14:textId="77777777" w:rsidR="009B16ED" w:rsidRPr="003A2CB9" w:rsidRDefault="009B16ED" w:rsidP="009B16ED">
      <w:pPr>
        <w:numPr>
          <w:ilvl w:val="0"/>
          <w:numId w:val="21"/>
        </w:numPr>
        <w:ind w:left="1247" w:firstLine="624"/>
        <w:rPr>
          <w:rFonts w:eastAsia="Calibri"/>
          <w:i/>
          <w:iCs/>
          <w:lang w:val="en-US"/>
        </w:rPr>
      </w:pPr>
      <w:r w:rsidRPr="003A2CB9">
        <w:rPr>
          <w:rFonts w:eastAsia="Calibri"/>
          <w:i/>
          <w:iCs/>
        </w:rPr>
        <w:t>принимает к сведению:</w:t>
      </w:r>
    </w:p>
    <w:p w14:paraId="73787310" w14:textId="77777777" w:rsidR="009B16ED" w:rsidRPr="003A2CB9" w:rsidRDefault="009B16ED" w:rsidP="009B16ED">
      <w:pPr>
        <w:numPr>
          <w:ilvl w:val="1"/>
          <w:numId w:val="21"/>
        </w:numPr>
        <w:ind w:left="1247" w:firstLine="624"/>
        <w:rPr>
          <w:rFonts w:eastAsia="Calibri"/>
        </w:rPr>
      </w:pPr>
      <w:r w:rsidRPr="003A2CB9">
        <w:rPr>
          <w:rFonts w:eastAsia="Calibri"/>
        </w:rPr>
        <w:t>обновленную электронную систему представления сведений Базельской конвенции о контроле за трансграничной перевозкой опасных отходов и их удалением</w:t>
      </w:r>
      <w:r w:rsidRPr="003A2CB9">
        <w:rPr>
          <w:rFonts w:eastAsia="Calibri"/>
          <w:iCs/>
          <w:vertAlign w:val="superscript"/>
        </w:rPr>
        <w:footnoteReference w:id="1"/>
      </w:r>
      <w:r w:rsidRPr="003A2CB9">
        <w:rPr>
          <w:rFonts w:eastAsia="Calibri"/>
        </w:rPr>
        <w:t>;</w:t>
      </w:r>
    </w:p>
    <w:p w14:paraId="6EE31A21" w14:textId="77777777" w:rsidR="009B16ED" w:rsidRPr="003A2CB9" w:rsidRDefault="009B16ED" w:rsidP="009B16ED">
      <w:pPr>
        <w:numPr>
          <w:ilvl w:val="1"/>
          <w:numId w:val="21"/>
        </w:numPr>
        <w:ind w:left="1247" w:firstLine="624"/>
        <w:rPr>
          <w:rFonts w:eastAsia="Calibri"/>
        </w:rPr>
      </w:pPr>
      <w:bookmarkStart w:id="0" w:name="_Hlk106803656"/>
      <w:bookmarkStart w:id="1" w:name="_Hlk106791424"/>
      <w:r w:rsidRPr="003A2CB9">
        <w:rPr>
          <w:rFonts w:eastAsia="Calibri"/>
        </w:rPr>
        <w:t>практическое руководство по составлению кадастров пластиковых отходов, вышедших из употребления пестицидов и утильной тары для пестицидов, а также содержащих литий утильных аккумуляторных батарей</w:t>
      </w:r>
      <w:r w:rsidRPr="003A2CB9">
        <w:rPr>
          <w:rFonts w:eastAsia="Calibri"/>
          <w:vertAlign w:val="superscript"/>
        </w:rPr>
        <w:footnoteReference w:id="2"/>
      </w:r>
      <w:r w:rsidRPr="003A2CB9">
        <w:rPr>
          <w:rFonts w:eastAsia="Calibri"/>
        </w:rPr>
        <w:t>; пересмотренное практическое руководство по составлению кадастров бывших в употреблении свинцово-кислотных аккумуляторных батарей и отработанных масел</w:t>
      </w:r>
      <w:r w:rsidRPr="003A2CB9">
        <w:rPr>
          <w:rFonts w:eastAsia="Calibri"/>
          <w:szCs w:val="18"/>
          <w:vertAlign w:val="superscript"/>
        </w:rPr>
        <w:footnoteReference w:id="3"/>
      </w:r>
      <w:r w:rsidRPr="003A2CB9">
        <w:rPr>
          <w:rFonts w:eastAsia="Calibri"/>
        </w:rPr>
        <w:t>;</w:t>
      </w:r>
      <w:bookmarkEnd w:id="0"/>
      <w:bookmarkEnd w:id="1"/>
    </w:p>
    <w:p w14:paraId="196E64CB" w14:textId="77777777" w:rsidR="009B16ED" w:rsidRPr="003A2CB9" w:rsidRDefault="009B16ED" w:rsidP="009B16ED">
      <w:pPr>
        <w:numPr>
          <w:ilvl w:val="0"/>
          <w:numId w:val="21"/>
        </w:numPr>
        <w:ind w:left="1247" w:firstLine="624"/>
        <w:rPr>
          <w:rFonts w:eastAsia="Calibri"/>
          <w:color w:val="000000"/>
        </w:rPr>
      </w:pPr>
      <w:r w:rsidRPr="003A2CB9">
        <w:rPr>
          <w:rFonts w:eastAsia="Calibri"/>
          <w:i/>
          <w:iCs/>
        </w:rPr>
        <w:t xml:space="preserve">призывает </w:t>
      </w:r>
      <w:r w:rsidRPr="003A2CB9">
        <w:rPr>
          <w:rFonts w:eastAsia="Calibri"/>
        </w:rPr>
        <w:t>Стороны, которые еще не сделали этого, как можно скорее направить секретариату свои национальные доклады за 2020 год и предыдущие годы;</w:t>
      </w:r>
    </w:p>
    <w:p w14:paraId="3B1D7C83" w14:textId="77777777" w:rsidR="009B16ED" w:rsidRPr="003A2CB9" w:rsidRDefault="009B16ED" w:rsidP="009B16ED">
      <w:pPr>
        <w:numPr>
          <w:ilvl w:val="0"/>
          <w:numId w:val="21"/>
        </w:numPr>
        <w:ind w:left="1247" w:firstLine="624"/>
        <w:rPr>
          <w:rFonts w:eastAsia="Calibri"/>
          <w:color w:val="000000"/>
        </w:rPr>
      </w:pPr>
      <w:r w:rsidRPr="003A2CB9">
        <w:rPr>
          <w:rFonts w:eastAsia="Calibri"/>
          <w:i/>
          <w:iCs/>
        </w:rPr>
        <w:t>предлагает</w:t>
      </w:r>
      <w:r w:rsidRPr="003A2CB9">
        <w:rPr>
          <w:rFonts w:eastAsia="Calibri"/>
        </w:rPr>
        <w:t xml:space="preserve"> Сторонам включать информацию об образовании отходов в свои национальные доклады не реже одного раза в четыре года;</w:t>
      </w:r>
    </w:p>
    <w:p w14:paraId="753E9357" w14:textId="77777777" w:rsidR="009B16ED" w:rsidRPr="003A2CB9" w:rsidRDefault="009B16ED" w:rsidP="009B16ED">
      <w:pPr>
        <w:numPr>
          <w:ilvl w:val="0"/>
          <w:numId w:val="21"/>
        </w:numPr>
        <w:ind w:left="1247" w:firstLine="624"/>
        <w:rPr>
          <w:rFonts w:eastAsia="Calibri"/>
          <w:color w:val="000000"/>
        </w:rPr>
      </w:pPr>
      <w:bookmarkStart w:id="3" w:name="_Hlk106791411"/>
      <w:r w:rsidRPr="003A2CB9">
        <w:rPr>
          <w:rFonts w:eastAsia="Calibri"/>
          <w:i/>
          <w:iCs/>
        </w:rPr>
        <w:t>предлагает</w:t>
      </w:r>
      <w:r w:rsidRPr="003A2CB9">
        <w:rPr>
          <w:rFonts w:eastAsia="Calibri"/>
        </w:rPr>
        <w:t xml:space="preserve"> Сторонам и другим субъектам применять практические руководства, </w:t>
      </w:r>
      <w:r>
        <w:rPr>
          <w:rFonts w:eastAsia="Calibri"/>
        </w:rPr>
        <w:t>о которых говорится</w:t>
      </w:r>
      <w:r w:rsidRPr="003A2CB9">
        <w:rPr>
          <w:rFonts w:eastAsia="Calibri"/>
        </w:rPr>
        <w:t xml:space="preserve"> в пункте 1 b) настоящего решения, и информировать секретариат об их опыте в этой области до 31 декабря 2023 года;</w:t>
      </w:r>
    </w:p>
    <w:bookmarkEnd w:id="3"/>
    <w:p w14:paraId="7CA76411" w14:textId="77777777" w:rsidR="009B16ED" w:rsidRPr="003A2CB9" w:rsidRDefault="009B16ED" w:rsidP="009B16ED">
      <w:pPr>
        <w:numPr>
          <w:ilvl w:val="0"/>
          <w:numId w:val="21"/>
        </w:numPr>
        <w:ind w:left="1247" w:firstLine="624"/>
        <w:rPr>
          <w:rFonts w:eastAsia="Calibri"/>
          <w:color w:val="000000"/>
          <w:lang w:val="en-US"/>
        </w:rPr>
      </w:pPr>
      <w:r w:rsidRPr="003A2CB9">
        <w:rPr>
          <w:rFonts w:eastAsia="Calibri"/>
          <w:i/>
          <w:iCs/>
        </w:rPr>
        <w:t>поручает</w:t>
      </w:r>
      <w:r w:rsidRPr="003A2CB9">
        <w:rPr>
          <w:rFonts w:eastAsia="Calibri"/>
        </w:rPr>
        <w:t xml:space="preserve"> секретариату:</w:t>
      </w:r>
    </w:p>
    <w:p w14:paraId="3CB6DCEF" w14:textId="77777777" w:rsidR="009B16ED" w:rsidRPr="003A2CB9" w:rsidRDefault="009B16ED" w:rsidP="009B16ED">
      <w:pPr>
        <w:numPr>
          <w:ilvl w:val="0"/>
          <w:numId w:val="20"/>
        </w:numPr>
        <w:ind w:left="1247" w:firstLine="624"/>
        <w:rPr>
          <w:rFonts w:eastAsia="Calibri"/>
        </w:rPr>
      </w:pPr>
      <w:r w:rsidRPr="003A2CB9">
        <w:rPr>
          <w:rFonts w:eastAsia="Calibri"/>
        </w:rPr>
        <w:t>продолжать разработку электронной системы представления сведений и оказывать Сторонам поддержку в ее использовании;</w:t>
      </w:r>
    </w:p>
    <w:p w14:paraId="4E4680EF" w14:textId="77777777" w:rsidR="009B16ED" w:rsidRPr="003A2CB9" w:rsidRDefault="009B16ED" w:rsidP="009B16ED">
      <w:pPr>
        <w:numPr>
          <w:ilvl w:val="0"/>
          <w:numId w:val="20"/>
        </w:numPr>
        <w:ind w:left="1247" w:firstLine="624"/>
        <w:rPr>
          <w:rFonts w:eastAsia="Calibri"/>
        </w:rPr>
      </w:pPr>
      <w:r w:rsidRPr="003A2CB9">
        <w:rPr>
          <w:rFonts w:eastAsia="Calibri"/>
        </w:rPr>
        <w:t>также продолжать разработку, при условии наличия ресурсов, практического руководства по составлению кадастров для групп отходов, имеющих среднюю приоритетность, согласно решению БК-14/10, для рассмотрения Конференцией Сторон на ее шестнадцатом совещании:</w:t>
      </w:r>
    </w:p>
    <w:p w14:paraId="01CD2EF0" w14:textId="77777777" w:rsidR="009B16ED" w:rsidRPr="003A2CB9" w:rsidRDefault="009B16ED" w:rsidP="009B16ED">
      <w:pPr>
        <w:numPr>
          <w:ilvl w:val="0"/>
          <w:numId w:val="20"/>
        </w:numPr>
        <w:ind w:left="1247" w:firstLine="624"/>
        <w:rPr>
          <w:rFonts w:eastAsia="Calibri"/>
          <w:color w:val="000000"/>
        </w:rPr>
      </w:pPr>
      <w:r w:rsidRPr="003A2CB9">
        <w:rPr>
          <w:rFonts w:eastAsia="Calibri"/>
        </w:rPr>
        <w:t xml:space="preserve">обеспечить наличие на шести официальных языках Организации Объединенных Наций, при условии наличия ресурсов, практического руководства по составлению кадастров пластиковых отходов, вышедших из употребления пестицидов и утильной тары для пестицидов, а также содержащих литий утильных аккумуляторов, о которых говорится в пункте 1 b) настоящего решения, для более широкого их применения Сторонами; </w:t>
      </w:r>
    </w:p>
    <w:p w14:paraId="378E660F" w14:textId="77777777" w:rsidR="009B16ED" w:rsidRPr="003A2CB9" w:rsidRDefault="009B16ED" w:rsidP="009B16ED">
      <w:pPr>
        <w:numPr>
          <w:ilvl w:val="0"/>
          <w:numId w:val="20"/>
        </w:numPr>
        <w:ind w:left="1247" w:firstLine="624"/>
        <w:rPr>
          <w:rFonts w:eastAsia="Calibri"/>
          <w:color w:val="000000"/>
        </w:rPr>
      </w:pPr>
      <w:bookmarkStart w:id="4" w:name="_Hlk533166062"/>
      <w:r w:rsidRPr="003A2CB9">
        <w:rPr>
          <w:rFonts w:eastAsia="Calibri"/>
        </w:rPr>
        <w:t>при условии наличия ресурсов осуществлять экспериментальные проекты для проверки практических руководств по составлению кадастров пластиковых отходов, вышедших из употребления пестицидов и утильной тары для пестицидов, а также содержащих литий утильных аккумуляторов, и по итогам выполнения этих проектов и на основе полученных Сторонами и наблюдателями замечаний в отношении их опыта использования этих руководств подготовить пересмотренные практические руководства для рассмотрения Конференцией Сторон на ее семнадцатом совещании;</w:t>
      </w:r>
    </w:p>
    <w:p w14:paraId="6CEE221E" w14:textId="77777777" w:rsidR="009B16ED" w:rsidRPr="003A2CB9" w:rsidRDefault="009B16ED" w:rsidP="009B16ED">
      <w:pPr>
        <w:numPr>
          <w:ilvl w:val="0"/>
          <w:numId w:val="20"/>
        </w:numPr>
        <w:ind w:left="1247" w:firstLine="624"/>
        <w:rPr>
          <w:rFonts w:eastAsia="Calibri"/>
        </w:rPr>
      </w:pPr>
      <w:r w:rsidRPr="003A2CB9">
        <w:rPr>
          <w:rFonts w:eastAsia="Calibri"/>
        </w:rPr>
        <w:t>обеспечить широкое распространение доклада Waste Without Frontiers II («Отходы без границ – II»)</w:t>
      </w:r>
      <w:r w:rsidRPr="003A2CB9">
        <w:rPr>
          <w:rFonts w:eastAsia="Calibri"/>
          <w:vertAlign w:val="superscript"/>
        </w:rPr>
        <w:footnoteReference w:id="4"/>
      </w:r>
      <w:r w:rsidRPr="003A2CB9">
        <w:rPr>
          <w:rFonts w:eastAsia="Calibri"/>
        </w:rPr>
        <w:t xml:space="preserve"> при условии наличия ресурсов;</w:t>
      </w:r>
    </w:p>
    <w:p w14:paraId="069FD37C" w14:textId="77777777" w:rsidR="009B16ED" w:rsidRPr="003A2CB9" w:rsidRDefault="009B16ED" w:rsidP="009B16ED">
      <w:pPr>
        <w:numPr>
          <w:ilvl w:val="0"/>
          <w:numId w:val="20"/>
        </w:numPr>
        <w:ind w:left="1247" w:firstLine="624"/>
        <w:rPr>
          <w:rFonts w:eastAsia="Calibri"/>
        </w:rPr>
      </w:pPr>
      <w:r w:rsidRPr="003A2CB9">
        <w:rPr>
          <w:rFonts w:eastAsia="Calibri"/>
        </w:rPr>
        <w:t xml:space="preserve">продолжать, при условии наличия ресурсов, обеспечивать в сотрудничестве с региональными и координационными центрами Базельской конвенции подготовку кадров для развивающихся стран и других стран, нуждающихся в помощи для выполнения своих обязательств по представлению сведений, и при этом уделять первоочередное внимание вопросам создания потенциала для Сторон в области совместного составления национальных </w:t>
      </w:r>
      <w:r w:rsidRPr="003A2CB9">
        <w:rPr>
          <w:rFonts w:eastAsia="Calibri"/>
        </w:rPr>
        <w:lastRenderedPageBreak/>
        <w:t>кадастров и разработки национального законодательства, с тем чтобы опираться на подход, применяемый Комитетом по управлению механизмом содействия осуществлению и соблюдению</w:t>
      </w:r>
      <w:r w:rsidRPr="003A2CB9">
        <w:rPr>
          <w:rFonts w:eastAsia="Calibri"/>
          <w:vertAlign w:val="superscript"/>
        </w:rPr>
        <w:footnoteReference w:id="5"/>
      </w:r>
      <w:r w:rsidRPr="003A2CB9">
        <w:rPr>
          <w:rFonts w:eastAsia="Calibri"/>
        </w:rPr>
        <w:t>;</w:t>
      </w:r>
    </w:p>
    <w:bookmarkEnd w:id="4"/>
    <w:p w14:paraId="3C80F5D1" w14:textId="77777777" w:rsidR="009B16ED" w:rsidRPr="003A2CB9" w:rsidRDefault="009B16ED" w:rsidP="009B16ED">
      <w:pPr>
        <w:numPr>
          <w:ilvl w:val="0"/>
          <w:numId w:val="20"/>
        </w:numPr>
        <w:ind w:left="1247" w:firstLine="624"/>
        <w:rPr>
          <w:rFonts w:eastAsia="Calibri"/>
          <w:color w:val="000000"/>
        </w:rPr>
      </w:pPr>
      <w:r w:rsidRPr="003A2CB9">
        <w:rPr>
          <w:rFonts w:eastAsia="Calibri"/>
        </w:rPr>
        <w:t>представить Конференции Сторон на ее шестнадцатом совещании доклад об осуществлении настоящего решения.</w:t>
      </w:r>
    </w:p>
    <w:p w14:paraId="72A577FA" w14:textId="7BA75DC0" w:rsidR="00F935A6" w:rsidRPr="009B16ED" w:rsidRDefault="00F935A6" w:rsidP="009B16ED"/>
    <w:sectPr w:rsidR="00F935A6" w:rsidRPr="009B16E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A2090" w14:textId="77777777" w:rsidR="001451B1" w:rsidRDefault="001451B1" w:rsidP="002B66BF">
      <w:pPr>
        <w:spacing w:after="0"/>
      </w:pPr>
      <w:r>
        <w:separator/>
      </w:r>
    </w:p>
  </w:endnote>
  <w:endnote w:type="continuationSeparator" w:id="0">
    <w:p w14:paraId="148D5A57" w14:textId="77777777" w:rsidR="001451B1" w:rsidRDefault="001451B1" w:rsidP="002B66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81EAA" w14:textId="77777777" w:rsidR="001451B1" w:rsidRDefault="001451B1" w:rsidP="002B66BF">
      <w:pPr>
        <w:spacing w:after="0"/>
      </w:pPr>
      <w:r>
        <w:separator/>
      </w:r>
    </w:p>
  </w:footnote>
  <w:footnote w:type="continuationSeparator" w:id="0">
    <w:p w14:paraId="6035F4B7" w14:textId="77777777" w:rsidR="001451B1" w:rsidRDefault="001451B1" w:rsidP="002B66BF">
      <w:pPr>
        <w:spacing w:after="0"/>
      </w:pPr>
      <w:r>
        <w:continuationSeparator/>
      </w:r>
    </w:p>
  </w:footnote>
  <w:footnote w:id="1">
    <w:p w14:paraId="3A632E7D" w14:textId="77777777" w:rsidR="009B16ED" w:rsidRPr="00195D11" w:rsidRDefault="009B16ED" w:rsidP="009B16ED">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195D11">
        <w:rPr>
          <w:sz w:val="18"/>
          <w:szCs w:val="18"/>
          <w:vertAlign w:val="superscript"/>
        </w:rPr>
        <w:footnoteRef/>
      </w:r>
      <w:r w:rsidRPr="00195D11">
        <w:rPr>
          <w:sz w:val="18"/>
          <w:szCs w:val="18"/>
          <w:lang w:val="en-GB"/>
        </w:rPr>
        <w:t xml:space="preserve"> </w:t>
      </w:r>
      <w:r>
        <w:rPr>
          <w:sz w:val="18"/>
          <w:szCs w:val="18"/>
          <w:lang w:val="en-GB"/>
        </w:rPr>
        <w:tab/>
      </w:r>
      <w:r w:rsidRPr="00195D11">
        <w:rPr>
          <w:sz w:val="18"/>
          <w:szCs w:val="18"/>
          <w:lang w:val="en-GB"/>
        </w:rPr>
        <w:t>www.basel.int/Countries/NationalReporting/tabid/3356/Default.aspx.</w:t>
      </w:r>
    </w:p>
  </w:footnote>
  <w:footnote w:id="2">
    <w:p w14:paraId="09FB49E7" w14:textId="77777777" w:rsidR="009B16ED" w:rsidRPr="00195D11" w:rsidRDefault="009B16ED" w:rsidP="009B16ED">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195D11">
        <w:rPr>
          <w:sz w:val="18"/>
          <w:szCs w:val="18"/>
          <w:vertAlign w:val="superscript"/>
        </w:rPr>
        <w:footnoteRef/>
      </w:r>
      <w:r w:rsidRPr="00195D11">
        <w:rPr>
          <w:sz w:val="18"/>
          <w:szCs w:val="18"/>
          <w:lang w:val="en-GB"/>
        </w:rPr>
        <w:t xml:space="preserve"> </w:t>
      </w:r>
      <w:r>
        <w:rPr>
          <w:sz w:val="18"/>
          <w:szCs w:val="18"/>
          <w:lang w:val="en-GB"/>
        </w:rPr>
        <w:tab/>
      </w:r>
      <w:r w:rsidRPr="00195D11">
        <w:rPr>
          <w:sz w:val="18"/>
          <w:szCs w:val="18"/>
          <w:lang w:val="en-GB"/>
        </w:rPr>
        <w:t xml:space="preserve">UNEP/CHW.15/INF/19/Rev.1, UNEP/CHW.15/INF/50/Rev.1 </w:t>
      </w:r>
      <w:r w:rsidRPr="00195D11">
        <w:rPr>
          <w:sz w:val="18"/>
          <w:szCs w:val="18"/>
        </w:rPr>
        <w:t>и</w:t>
      </w:r>
      <w:r w:rsidRPr="00195D11">
        <w:rPr>
          <w:sz w:val="18"/>
          <w:szCs w:val="18"/>
          <w:lang w:val="en-GB"/>
        </w:rPr>
        <w:t xml:space="preserve"> UNEP/CHW.15/INF/51/Rev.1.</w:t>
      </w:r>
      <w:bookmarkStart w:id="2" w:name="_Hlk106803639"/>
      <w:bookmarkEnd w:id="2"/>
    </w:p>
  </w:footnote>
  <w:footnote w:id="3">
    <w:p w14:paraId="084EEA41" w14:textId="77777777" w:rsidR="009B16ED" w:rsidRPr="00195D11" w:rsidRDefault="009B16ED" w:rsidP="009B16ED">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195D11">
        <w:rPr>
          <w:rStyle w:val="FootnoteReference"/>
          <w:sz w:val="18"/>
        </w:rPr>
        <w:footnoteRef/>
      </w:r>
      <w:r w:rsidRPr="00195D11">
        <w:rPr>
          <w:sz w:val="18"/>
          <w:szCs w:val="18"/>
          <w:lang w:val="en-GB"/>
        </w:rPr>
        <w:t xml:space="preserve"> </w:t>
      </w:r>
      <w:r>
        <w:rPr>
          <w:sz w:val="18"/>
          <w:szCs w:val="18"/>
          <w:lang w:val="en-GB"/>
        </w:rPr>
        <w:tab/>
      </w:r>
      <w:r w:rsidRPr="00195D11">
        <w:rPr>
          <w:sz w:val="18"/>
          <w:szCs w:val="18"/>
          <w:lang w:val="en-GB"/>
        </w:rPr>
        <w:t>UNEP/CHW.15/INF/61.</w:t>
      </w:r>
    </w:p>
  </w:footnote>
  <w:footnote w:id="4">
    <w:p w14:paraId="567D7017" w14:textId="77777777" w:rsidR="009B16ED" w:rsidRPr="00195D11" w:rsidRDefault="009B16ED" w:rsidP="009B16ED">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195D11">
        <w:rPr>
          <w:sz w:val="18"/>
          <w:szCs w:val="18"/>
          <w:vertAlign w:val="superscript"/>
        </w:rPr>
        <w:footnoteRef/>
      </w:r>
      <w:r w:rsidRPr="00195D11">
        <w:rPr>
          <w:sz w:val="18"/>
          <w:szCs w:val="18"/>
          <w:lang w:val="en-GB"/>
        </w:rPr>
        <w:t xml:space="preserve"> </w:t>
      </w:r>
      <w:r>
        <w:rPr>
          <w:sz w:val="18"/>
          <w:szCs w:val="18"/>
          <w:lang w:val="en-GB"/>
        </w:rPr>
        <w:tab/>
      </w:r>
      <w:r w:rsidRPr="00195D11">
        <w:rPr>
          <w:sz w:val="18"/>
          <w:szCs w:val="18"/>
          <w:lang w:val="en-GB"/>
        </w:rPr>
        <w:t>www.basel.int/Implementation/Publications/Other/tabid/2470/Default.aspx.</w:t>
      </w:r>
    </w:p>
  </w:footnote>
  <w:footnote w:id="5">
    <w:p w14:paraId="25421034" w14:textId="77777777" w:rsidR="009B16ED" w:rsidRPr="00195D11" w:rsidRDefault="009B16ED" w:rsidP="009B16ED">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195D11">
        <w:rPr>
          <w:sz w:val="18"/>
          <w:szCs w:val="18"/>
          <w:vertAlign w:val="superscript"/>
        </w:rPr>
        <w:footnoteRef/>
      </w:r>
      <w:r w:rsidRPr="00195D11">
        <w:rPr>
          <w:sz w:val="18"/>
          <w:szCs w:val="18"/>
          <w:lang w:val="en-GB"/>
        </w:rPr>
        <w:t xml:space="preserve"> </w:t>
      </w:r>
      <w:r>
        <w:rPr>
          <w:sz w:val="18"/>
          <w:szCs w:val="18"/>
          <w:lang w:val="en-GB"/>
        </w:rPr>
        <w:tab/>
      </w:r>
      <w:r w:rsidRPr="00195D11">
        <w:rPr>
          <w:sz w:val="18"/>
          <w:szCs w:val="18"/>
          <w:lang w:val="en-GB"/>
        </w:rPr>
        <w:t xml:space="preserve">www.basel.int/Implementation/LegalMatters/Compliance/SpecificSubmissionsActivities/ </w:t>
      </w:r>
      <w:proofErr w:type="spellStart"/>
      <w:r w:rsidRPr="00195D11">
        <w:rPr>
          <w:sz w:val="18"/>
          <w:szCs w:val="18"/>
          <w:lang w:val="en-GB"/>
        </w:rPr>
        <w:t>Currentsubmissions</w:t>
      </w:r>
      <w:proofErr w:type="spellEnd"/>
      <w:r w:rsidRPr="00195D11">
        <w:rPr>
          <w:sz w:val="18"/>
          <w:szCs w:val="18"/>
          <w:lang w:val="en-GB"/>
        </w:rPr>
        <w:t>/tabid/2310/Default.aspx.</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471A"/>
    <w:multiLevelType w:val="hybridMultilevel"/>
    <w:tmpl w:val="F4C4BFC8"/>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B758D2"/>
    <w:multiLevelType w:val="hybridMultilevel"/>
    <w:tmpl w:val="96E2F374"/>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C62AE9"/>
    <w:multiLevelType w:val="hybridMultilevel"/>
    <w:tmpl w:val="741AAEAC"/>
    <w:lvl w:ilvl="0" w:tplc="F8B4A356">
      <w:start w:val="1"/>
      <w:numFmt w:val="decimal"/>
      <w:lvlText w:val="%1."/>
      <w:lvlJc w:val="left"/>
      <w:pPr>
        <w:ind w:left="3215" w:hanging="360"/>
      </w:pPr>
      <w:rPr>
        <w:i w:val="0"/>
        <w:iCs w:val="0"/>
      </w:rPr>
    </w:lvl>
    <w:lvl w:ilvl="1" w:tplc="B776CA36">
      <w:start w:val="1"/>
      <w:numFmt w:val="lowerLetter"/>
      <w:lvlText w:val="%2)"/>
      <w:lvlJc w:val="left"/>
      <w:pPr>
        <w:ind w:left="2771"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5"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6"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ACB3B27"/>
    <w:multiLevelType w:val="hybridMultilevel"/>
    <w:tmpl w:val="25F47B44"/>
    <w:lvl w:ilvl="0" w:tplc="B776CA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3C42C8"/>
    <w:multiLevelType w:val="hybridMultilevel"/>
    <w:tmpl w:val="8298A94C"/>
    <w:lvl w:ilvl="0" w:tplc="78083696">
      <w:start w:val="1"/>
      <w:numFmt w:val="lowerLetter"/>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0"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11C554E"/>
    <w:multiLevelType w:val="hybridMultilevel"/>
    <w:tmpl w:val="F4C4BFC8"/>
    <w:lvl w:ilvl="0" w:tplc="FFFFFFFF">
      <w:start w:val="1"/>
      <w:numFmt w:val="lowerLetter"/>
      <w:lvlText w:val="%1)"/>
      <w:lvlJc w:val="left"/>
      <w:pPr>
        <w:ind w:left="2174"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14"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FA22318"/>
    <w:multiLevelType w:val="hybridMultilevel"/>
    <w:tmpl w:val="34A06CA0"/>
    <w:lvl w:ilvl="0" w:tplc="0B82E394">
      <w:start w:val="1"/>
      <w:numFmt w:val="lowerLetter"/>
      <w:lvlText w:val="%1)"/>
      <w:lvlJc w:val="left"/>
      <w:pPr>
        <w:ind w:left="2231"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7"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241682"/>
    <w:multiLevelType w:val="hybridMultilevel"/>
    <w:tmpl w:val="6FF20B76"/>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5657F53"/>
    <w:multiLevelType w:val="hybridMultilevel"/>
    <w:tmpl w:val="EB1C4F3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11741218">
    <w:abstractNumId w:val="10"/>
  </w:num>
  <w:num w:numId="2" w16cid:durableId="1985698457">
    <w:abstractNumId w:val="11"/>
  </w:num>
  <w:num w:numId="3" w16cid:durableId="1993219452">
    <w:abstractNumId w:val="12"/>
  </w:num>
  <w:num w:numId="4" w16cid:durableId="178666977">
    <w:abstractNumId w:val="1"/>
  </w:num>
  <w:num w:numId="5" w16cid:durableId="1172839810">
    <w:abstractNumId w:val="15"/>
  </w:num>
  <w:num w:numId="6" w16cid:durableId="814758448">
    <w:abstractNumId w:val="18"/>
  </w:num>
  <w:num w:numId="7" w16cid:durableId="1908103088">
    <w:abstractNumId w:val="16"/>
  </w:num>
  <w:num w:numId="8" w16cid:durableId="921450883">
    <w:abstractNumId w:val="20"/>
  </w:num>
  <w:num w:numId="9" w16cid:durableId="520977107">
    <w:abstractNumId w:val="0"/>
  </w:num>
  <w:num w:numId="10" w16cid:durableId="1338776817">
    <w:abstractNumId w:val="13"/>
  </w:num>
  <w:num w:numId="11" w16cid:durableId="943608533">
    <w:abstractNumId w:val="6"/>
  </w:num>
  <w:num w:numId="12" w16cid:durableId="78336049">
    <w:abstractNumId w:val="2"/>
  </w:num>
  <w:num w:numId="13" w16cid:durableId="254870960">
    <w:abstractNumId w:val="19"/>
  </w:num>
  <w:num w:numId="14" w16cid:durableId="1808276422">
    <w:abstractNumId w:val="14"/>
  </w:num>
  <w:num w:numId="15" w16cid:durableId="538929816">
    <w:abstractNumId w:val="3"/>
  </w:num>
  <w:num w:numId="16" w16cid:durableId="616522559">
    <w:abstractNumId w:val="17"/>
  </w:num>
  <w:num w:numId="17" w16cid:durableId="115949650">
    <w:abstractNumId w:val="7"/>
  </w:num>
  <w:num w:numId="18" w16cid:durableId="1232617130">
    <w:abstractNumId w:val="5"/>
  </w:num>
  <w:num w:numId="19" w16cid:durableId="791749502">
    <w:abstractNumId w:val="9"/>
  </w:num>
  <w:num w:numId="20" w16cid:durableId="1014646889">
    <w:abstractNumId w:val="8"/>
  </w:num>
  <w:num w:numId="21" w16cid:durableId="8920820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6BF"/>
    <w:rsid w:val="001451B1"/>
    <w:rsid w:val="002B66BF"/>
    <w:rsid w:val="003C0A29"/>
    <w:rsid w:val="00475395"/>
    <w:rsid w:val="005B1C5E"/>
    <w:rsid w:val="00617E26"/>
    <w:rsid w:val="007A72EB"/>
    <w:rsid w:val="00836B73"/>
    <w:rsid w:val="00872B69"/>
    <w:rsid w:val="009B16ED"/>
    <w:rsid w:val="00C84536"/>
    <w:rsid w:val="00CA40F2"/>
    <w:rsid w:val="00E75C1B"/>
    <w:rsid w:val="00F70037"/>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25772"/>
  <w15:chartTrackingRefBased/>
  <w15:docId w15:val="{37AE8027-7CF0-489E-9F14-615FBAFB0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6BF"/>
    <w:pPr>
      <w:spacing w:after="12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2B66BF"/>
    <w:rPr>
      <w:rFonts w:ascii="Times New Roman" w:hAnsi="Times New Roman"/>
      <w:sz w:val="20"/>
      <w:szCs w:val="18"/>
      <w:vertAlign w:val="superscript"/>
    </w:rPr>
  </w:style>
  <w:style w:type="paragraph" w:customStyle="1" w:styleId="Normal-pool">
    <w:name w:val="Normal-pool"/>
    <w:link w:val="Normal-poolChar"/>
    <w:qFormat/>
    <w:rsid w:val="002B66B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ru-RU" w:eastAsia="en-US"/>
    </w:rPr>
  </w:style>
  <w:style w:type="character" w:customStyle="1" w:styleId="Normal-poolChar">
    <w:name w:val="Normal-pool Char"/>
    <w:link w:val="Normal-pool"/>
    <w:locked/>
    <w:rsid w:val="002B66BF"/>
    <w:rPr>
      <w:rFonts w:ascii="Times New Roman" w:eastAsia="Times New Roman" w:hAnsi="Times New Roman" w:cs="Times New Roman"/>
      <w:sz w:val="20"/>
      <w:szCs w:val="20"/>
      <w:lang w:val="ru-RU"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2B66BF"/>
    <w:pPr>
      <w:spacing w:before="120" w:after="160" w:line="240" w:lineRule="exact"/>
    </w:pPr>
    <w:rPr>
      <w:rFonts w:eastAsiaTheme="minorEastAsia" w:cstheme="minorBidi"/>
      <w:szCs w:val="18"/>
      <w:vertAlign w:val="superscript"/>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476</Words>
  <Characters>2719</Characters>
  <Application>Microsoft Office Word</Application>
  <DocSecurity>0</DocSecurity>
  <Lines>22</Lines>
  <Paragraphs>6</Paragraphs>
  <ScaleCrop>false</ScaleCrop>
  <Company/>
  <LinksUpToDate>false</LinksUpToDate>
  <CharactersWithSpaces>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2023-05-22T12:55:00Z</dcterms:created>
  <dcterms:modified xsi:type="dcterms:W3CDTF">2023-05-22T12:55:00Z</dcterms:modified>
</cp:coreProperties>
</file>