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4B831" w14:textId="77777777" w:rsidR="002E5D8A" w:rsidRPr="00B831E7" w:rsidRDefault="002E5D8A" w:rsidP="002E5D8A">
      <w:pPr>
        <w:pStyle w:val="CH1"/>
        <w:spacing w:before="0"/>
      </w:pPr>
      <w:bookmarkStart w:id="0" w:name="_Hlk106791693"/>
      <w:r w:rsidRPr="00B831E7">
        <w:tab/>
      </w:r>
      <w:r w:rsidRPr="00B831E7">
        <w:tab/>
        <w:t>BC-15/14</w:t>
      </w:r>
      <w:bookmarkStart w:id="1" w:name="_Hlk106791680"/>
      <w:r w:rsidRPr="00B831E7">
        <w:t xml:space="preserve">: Electronic approaches to the notification and movement documents </w:t>
      </w:r>
      <w:bookmarkEnd w:id="1"/>
    </w:p>
    <w:bookmarkEnd w:id="0"/>
    <w:p w14:paraId="6D4B1CF8" w14:textId="77777777" w:rsidR="002E5D8A" w:rsidRPr="00B831E7" w:rsidRDefault="002E5D8A" w:rsidP="002E5D8A">
      <w:pPr>
        <w:pStyle w:val="NormalNonumber"/>
        <w:spacing w:after="120"/>
        <w:ind w:firstLine="624"/>
        <w:rPr>
          <w:i/>
          <w:iCs/>
        </w:rPr>
      </w:pPr>
      <w:r w:rsidRPr="00B831E7">
        <w:rPr>
          <w:i/>
          <w:iCs/>
        </w:rPr>
        <w:t>The Conference of the Parties</w:t>
      </w:r>
    </w:p>
    <w:p w14:paraId="75A348E2" w14:textId="77777777" w:rsidR="002E5D8A" w:rsidRPr="00B831E7" w:rsidRDefault="002E5D8A" w:rsidP="002E5D8A">
      <w:pPr>
        <w:pStyle w:val="NormalNonumber"/>
        <w:numPr>
          <w:ilvl w:val="0"/>
          <w:numId w:val="12"/>
        </w:numPr>
        <w:tabs>
          <w:tab w:val="clear" w:pos="1247"/>
          <w:tab w:val="clear" w:pos="1814"/>
          <w:tab w:val="clear" w:pos="2381"/>
          <w:tab w:val="clear" w:pos="2948"/>
          <w:tab w:val="clear" w:pos="3515"/>
          <w:tab w:val="clear" w:pos="4082"/>
        </w:tabs>
        <w:spacing w:after="120"/>
        <w:ind w:left="1247" w:firstLine="624"/>
        <w:rPr>
          <w:rFonts w:eastAsia="SimSun"/>
          <w:iCs/>
        </w:rPr>
      </w:pPr>
      <w:r w:rsidRPr="00B831E7">
        <w:rPr>
          <w:rFonts w:eastAsia="SimSun"/>
          <w:i/>
        </w:rPr>
        <w:t>Takes note</w:t>
      </w:r>
      <w:r w:rsidRPr="00B831E7">
        <w:rPr>
          <w:rFonts w:eastAsia="SimSun"/>
          <w:iCs/>
        </w:rPr>
        <w:t xml:space="preserve"> of the report by the Secretariat on experiences, at the national and international levels, in developing and implementing electronic systems for exchanging information on or controlling the movements of goods and wastes, and lessons learned from such experiences,</w:t>
      </w:r>
      <w:r w:rsidRPr="00B831E7">
        <w:rPr>
          <w:rFonts w:eastAsia="SimSun"/>
          <w:iCs/>
          <w:vertAlign w:val="superscript"/>
        </w:rPr>
        <w:footnoteReference w:id="1"/>
      </w:r>
      <w:r w:rsidRPr="00B831E7">
        <w:rPr>
          <w:rFonts w:eastAsia="SimSun"/>
          <w:iCs/>
        </w:rPr>
        <w:t xml:space="preserve"> including on relevant standards and initiatives developed by international organizations which relate to the work under the Basel Convention</w:t>
      </w:r>
      <w:r w:rsidRPr="00B831E7">
        <w:rPr>
          <w:rStyle w:val="PageNumber"/>
        </w:rPr>
        <w:t xml:space="preserve"> </w:t>
      </w:r>
      <w:r w:rsidRPr="00B831E7">
        <w:t>on the Control of Transboundary Movements of Hazardous Wastes and Their Disposal</w:t>
      </w:r>
      <w:r w:rsidRPr="00B831E7">
        <w:rPr>
          <w:rFonts w:eastAsia="SimSun"/>
          <w:iCs/>
        </w:rPr>
        <w:t>, in particular, but not limited to, the United Nations Centre for Trade Facilitation and Electronic Business, the World Customs Organization data model and the Automated System for Customs Data;</w:t>
      </w:r>
      <w:r w:rsidRPr="00B831E7" w:rsidDel="00A90AB8">
        <w:rPr>
          <w:rFonts w:eastAsia="SimSun"/>
          <w:iCs/>
          <w:vertAlign w:val="superscript"/>
        </w:rPr>
        <w:t xml:space="preserve"> </w:t>
      </w:r>
    </w:p>
    <w:p w14:paraId="142FEA6F" w14:textId="77777777" w:rsidR="002E5D8A" w:rsidRPr="00B831E7" w:rsidRDefault="002E5D8A" w:rsidP="002E5D8A">
      <w:pPr>
        <w:pStyle w:val="NormalNonumber"/>
        <w:numPr>
          <w:ilvl w:val="0"/>
          <w:numId w:val="12"/>
        </w:numPr>
        <w:tabs>
          <w:tab w:val="clear" w:pos="1247"/>
          <w:tab w:val="clear" w:pos="1814"/>
          <w:tab w:val="clear" w:pos="2381"/>
          <w:tab w:val="clear" w:pos="2948"/>
          <w:tab w:val="clear" w:pos="3515"/>
          <w:tab w:val="clear" w:pos="4082"/>
        </w:tabs>
        <w:spacing w:after="120"/>
        <w:ind w:left="1247" w:firstLine="624"/>
        <w:rPr>
          <w:rFonts w:eastAsia="SimSun"/>
          <w:iCs/>
        </w:rPr>
      </w:pPr>
      <w:bookmarkStart w:id="2" w:name="_Hlk106791760"/>
      <w:r w:rsidRPr="00B831E7">
        <w:rPr>
          <w:i/>
        </w:rPr>
        <w:t>Decides</w:t>
      </w:r>
      <w:r w:rsidRPr="00B831E7">
        <w:rPr>
          <w:i/>
          <w:lang w:eastAsia="en-CA"/>
        </w:rPr>
        <w:t xml:space="preserve"> </w:t>
      </w:r>
      <w:r w:rsidRPr="00B831E7">
        <w:rPr>
          <w:lang w:eastAsia="en-CA"/>
        </w:rPr>
        <w:t xml:space="preserve">to establish a small intersessional working group, operating by electronic means, </w:t>
      </w:r>
      <w:r w:rsidRPr="00B831E7">
        <w:rPr>
          <w:rFonts w:eastAsia="SimSun"/>
          <w:iCs/>
        </w:rPr>
        <w:t xml:space="preserve">to look further into electronic approaches to the notification and movement documents, </w:t>
      </w:r>
      <w:bookmarkStart w:id="3" w:name="_Hlk106791923"/>
      <w:bookmarkEnd w:id="2"/>
      <w:proofErr w:type="gramStart"/>
      <w:r w:rsidRPr="00B831E7">
        <w:rPr>
          <w:rFonts w:eastAsia="SimSun"/>
          <w:iCs/>
        </w:rPr>
        <w:t>taking into account</w:t>
      </w:r>
      <w:proofErr w:type="gramEnd"/>
      <w:r w:rsidRPr="00B831E7">
        <w:rPr>
          <w:rFonts w:eastAsia="SimSun"/>
          <w:iCs/>
        </w:rPr>
        <w:t xml:space="preserve"> the report of the first consultative workshop on electronic approaches to the notification and movement documents of the Basel Convention,</w:t>
      </w:r>
      <w:r w:rsidRPr="00B831E7">
        <w:rPr>
          <w:rFonts w:eastAsia="SimSun"/>
          <w:iCs/>
          <w:vertAlign w:val="superscript"/>
        </w:rPr>
        <w:footnoteReference w:id="2"/>
      </w:r>
      <w:r w:rsidRPr="00B831E7">
        <w:rPr>
          <w:rFonts w:eastAsia="SimSun"/>
          <w:iCs/>
        </w:rPr>
        <w:t xml:space="preserve"> </w:t>
      </w:r>
      <w:bookmarkEnd w:id="3"/>
      <w:r w:rsidRPr="00B831E7">
        <w:rPr>
          <w:rFonts w:eastAsia="SimSun"/>
          <w:iCs/>
        </w:rPr>
        <w:t>including the</w:t>
      </w:r>
      <w:r w:rsidRPr="00B831E7">
        <w:t xml:space="preserve"> elements for further discussion set out therein, and previous reports prepared on that topic;</w:t>
      </w:r>
      <w:r w:rsidRPr="00B831E7">
        <w:rPr>
          <w:rStyle w:val="FootnoteReference"/>
        </w:rPr>
        <w:footnoteReference w:id="3"/>
      </w:r>
    </w:p>
    <w:p w14:paraId="0D416032" w14:textId="77777777" w:rsidR="002E5D8A" w:rsidRPr="00B831E7" w:rsidRDefault="002E5D8A" w:rsidP="002E5D8A">
      <w:pPr>
        <w:pStyle w:val="NormalNonumber"/>
        <w:numPr>
          <w:ilvl w:val="0"/>
          <w:numId w:val="12"/>
        </w:numPr>
        <w:tabs>
          <w:tab w:val="clear" w:pos="1247"/>
          <w:tab w:val="clear" w:pos="1814"/>
          <w:tab w:val="clear" w:pos="2381"/>
          <w:tab w:val="clear" w:pos="2948"/>
          <w:tab w:val="clear" w:pos="3515"/>
          <w:tab w:val="clear" w:pos="4082"/>
        </w:tabs>
        <w:spacing w:after="120"/>
        <w:ind w:left="1247" w:firstLine="624"/>
        <w:rPr>
          <w:iCs/>
        </w:rPr>
      </w:pPr>
      <w:r w:rsidRPr="00B831E7">
        <w:rPr>
          <w:i/>
        </w:rPr>
        <w:t>Invites</w:t>
      </w:r>
      <w:r w:rsidRPr="00B831E7">
        <w:rPr>
          <w:iCs/>
        </w:rPr>
        <w:t xml:space="preserve"> Parties and observers to nominate experts with relevant knowledge of and expertise in the implementation of the prior </w:t>
      </w:r>
      <w:r w:rsidRPr="00B831E7">
        <w:rPr>
          <w:rFonts w:eastAsia="SimSun"/>
          <w:iCs/>
        </w:rPr>
        <w:t>informed</w:t>
      </w:r>
      <w:r w:rsidRPr="00B831E7">
        <w:rPr>
          <w:iCs/>
        </w:rPr>
        <w:t xml:space="preserve"> consent procedure of the Basel Convention, and experts with experience in developing software in the areas of trade, customs or related areas, to participate in the small intersessional working group, and to inform the Secretariat of their nominations by 31 July </w:t>
      </w:r>
      <w:proofErr w:type="gramStart"/>
      <w:r w:rsidRPr="00B831E7">
        <w:rPr>
          <w:iCs/>
        </w:rPr>
        <w:t>2022;</w:t>
      </w:r>
      <w:proofErr w:type="gramEnd"/>
    </w:p>
    <w:p w14:paraId="201416AA" w14:textId="77777777" w:rsidR="002E5D8A" w:rsidRPr="00B831E7" w:rsidRDefault="002E5D8A" w:rsidP="002E5D8A">
      <w:pPr>
        <w:pStyle w:val="NormalNonumber"/>
        <w:numPr>
          <w:ilvl w:val="0"/>
          <w:numId w:val="12"/>
        </w:numPr>
        <w:tabs>
          <w:tab w:val="clear" w:pos="1247"/>
          <w:tab w:val="clear" w:pos="1814"/>
          <w:tab w:val="clear" w:pos="2381"/>
          <w:tab w:val="clear" w:pos="2948"/>
          <w:tab w:val="clear" w:pos="3515"/>
          <w:tab w:val="clear" w:pos="4082"/>
        </w:tabs>
        <w:spacing w:after="120"/>
        <w:ind w:left="1247" w:firstLine="624"/>
        <w:rPr>
          <w:iCs/>
        </w:rPr>
      </w:pPr>
      <w:r w:rsidRPr="00B831E7">
        <w:rPr>
          <w:i/>
        </w:rPr>
        <w:t>Invites</w:t>
      </w:r>
      <w:r w:rsidRPr="00B831E7">
        <w:rPr>
          <w:iCs/>
        </w:rPr>
        <w:t xml:space="preserve"> Parties to consider serving as lead countries for the work referred to in paragraph 2 of the present decision and to inform the Secretariat by 31 July 2022 of their willingness to do </w:t>
      </w:r>
      <w:proofErr w:type="gramStart"/>
      <w:r w:rsidRPr="00B831E7">
        <w:rPr>
          <w:iCs/>
        </w:rPr>
        <w:t>so;</w:t>
      </w:r>
      <w:proofErr w:type="gramEnd"/>
    </w:p>
    <w:p w14:paraId="3DB62996" w14:textId="77777777" w:rsidR="002E5D8A" w:rsidRPr="00B831E7" w:rsidRDefault="002E5D8A" w:rsidP="002E5D8A">
      <w:pPr>
        <w:pStyle w:val="NormalNonumber"/>
        <w:numPr>
          <w:ilvl w:val="0"/>
          <w:numId w:val="12"/>
        </w:numPr>
        <w:tabs>
          <w:tab w:val="clear" w:pos="1247"/>
          <w:tab w:val="clear" w:pos="1814"/>
          <w:tab w:val="clear" w:pos="2381"/>
          <w:tab w:val="clear" w:pos="2948"/>
          <w:tab w:val="clear" w:pos="3515"/>
          <w:tab w:val="clear" w:pos="4082"/>
        </w:tabs>
        <w:spacing w:after="120"/>
        <w:ind w:left="1247" w:firstLine="624"/>
        <w:rPr>
          <w:iCs/>
        </w:rPr>
      </w:pPr>
      <w:r w:rsidRPr="00B831E7">
        <w:rPr>
          <w:i/>
        </w:rPr>
        <w:t>Requests</w:t>
      </w:r>
      <w:r w:rsidRPr="00B831E7">
        <w:rPr>
          <w:iCs/>
        </w:rPr>
        <w:t xml:space="preserve"> the lead country or countries or, if there is no lead country or countries, the Secretariat, subject to the availability of resources, in consultation with the small intersessional working group, to prepare a report with recommendations on the next steps regarding the work on electronic approaches to the notification and movement documents, including, but not limited to, the </w:t>
      </w:r>
      <w:r w:rsidRPr="00B831E7">
        <w:t xml:space="preserve">elements for further discussion </w:t>
      </w:r>
      <w:r w:rsidRPr="00B831E7">
        <w:rPr>
          <w:iCs/>
        </w:rPr>
        <w:t>referred to in paragraph 2 of the present decision, for consideration by the Open-ended Working Group at its thirteenth meeting;</w:t>
      </w:r>
    </w:p>
    <w:p w14:paraId="10663151" w14:textId="77777777" w:rsidR="002E5D8A" w:rsidRPr="00B831E7" w:rsidRDefault="002E5D8A" w:rsidP="002E5D8A">
      <w:pPr>
        <w:pStyle w:val="NormalNonumber"/>
        <w:numPr>
          <w:ilvl w:val="0"/>
          <w:numId w:val="12"/>
        </w:numPr>
        <w:tabs>
          <w:tab w:val="clear" w:pos="1247"/>
          <w:tab w:val="clear" w:pos="1814"/>
          <w:tab w:val="clear" w:pos="2381"/>
          <w:tab w:val="clear" w:pos="2948"/>
          <w:tab w:val="clear" w:pos="3515"/>
          <w:tab w:val="clear" w:pos="4082"/>
        </w:tabs>
        <w:spacing w:after="120"/>
        <w:ind w:left="1247" w:firstLine="624"/>
        <w:rPr>
          <w:rFonts w:eastAsia="SimSun"/>
          <w:iCs/>
        </w:rPr>
      </w:pPr>
      <w:r w:rsidRPr="00B831E7">
        <w:rPr>
          <w:rFonts w:eastAsia="SimSun"/>
          <w:i/>
        </w:rPr>
        <w:t>Invites</w:t>
      </w:r>
      <w:r w:rsidRPr="00B831E7">
        <w:rPr>
          <w:rFonts w:eastAsia="SimSun"/>
          <w:iCs/>
        </w:rPr>
        <w:t xml:space="preserve"> Parties willing to do so to work on pilot projects </w:t>
      </w:r>
      <w:r w:rsidRPr="00B831E7">
        <w:rPr>
          <w:iCs/>
        </w:rPr>
        <w:t>on electronic approaches to the notification and movement documents</w:t>
      </w:r>
      <w:r w:rsidRPr="00B831E7">
        <w:rPr>
          <w:rFonts w:eastAsia="SimSun"/>
          <w:iCs/>
        </w:rPr>
        <w:t>, taking into account the experiences of other Parties and of non</w:t>
      </w:r>
      <w:r w:rsidRPr="00B831E7">
        <w:rPr>
          <w:rFonts w:eastAsia="SimSun"/>
          <w:iCs/>
        </w:rPr>
        <w:noBreakHyphen/>
        <w:t xml:space="preserve">Parties, and the work carried out by other international organizations, and to submit their lessons learned to the </w:t>
      </w:r>
      <w:proofErr w:type="gramStart"/>
      <w:r w:rsidRPr="00B831E7">
        <w:rPr>
          <w:rFonts w:eastAsia="SimSun"/>
          <w:iCs/>
        </w:rPr>
        <w:t>Secretariat;</w:t>
      </w:r>
      <w:proofErr w:type="gramEnd"/>
      <w:r w:rsidRPr="00B831E7">
        <w:rPr>
          <w:rFonts w:eastAsia="SimSun"/>
          <w:iCs/>
        </w:rPr>
        <w:t xml:space="preserve"> </w:t>
      </w:r>
    </w:p>
    <w:p w14:paraId="3B7EB164" w14:textId="77777777" w:rsidR="002E5D8A" w:rsidRPr="00B831E7" w:rsidRDefault="002E5D8A" w:rsidP="002E5D8A">
      <w:pPr>
        <w:pStyle w:val="NormalNonumber"/>
        <w:numPr>
          <w:ilvl w:val="0"/>
          <w:numId w:val="12"/>
        </w:numPr>
        <w:tabs>
          <w:tab w:val="clear" w:pos="1247"/>
          <w:tab w:val="clear" w:pos="1814"/>
          <w:tab w:val="clear" w:pos="2381"/>
          <w:tab w:val="clear" w:pos="2948"/>
          <w:tab w:val="clear" w:pos="3515"/>
          <w:tab w:val="clear" w:pos="4082"/>
        </w:tabs>
        <w:spacing w:after="120"/>
        <w:ind w:left="1247" w:firstLine="624"/>
      </w:pPr>
      <w:r w:rsidRPr="00B831E7">
        <w:rPr>
          <w:i/>
        </w:rPr>
        <w:t>Requests</w:t>
      </w:r>
      <w:r w:rsidRPr="00B831E7">
        <w:t xml:space="preserve"> the </w:t>
      </w:r>
      <w:r w:rsidRPr="00B831E7">
        <w:rPr>
          <w:iCs/>
        </w:rPr>
        <w:t>Secretariat</w:t>
      </w:r>
      <w:r w:rsidRPr="00B831E7">
        <w:t>:</w:t>
      </w:r>
    </w:p>
    <w:p w14:paraId="06680F51" w14:textId="77777777" w:rsidR="002E5D8A" w:rsidRPr="00B831E7" w:rsidRDefault="002E5D8A" w:rsidP="002E5D8A">
      <w:pPr>
        <w:pStyle w:val="NormalNonumber"/>
        <w:numPr>
          <w:ilvl w:val="1"/>
          <w:numId w:val="12"/>
        </w:numPr>
        <w:tabs>
          <w:tab w:val="clear" w:pos="1247"/>
          <w:tab w:val="clear" w:pos="1814"/>
          <w:tab w:val="clear" w:pos="2381"/>
          <w:tab w:val="clear" w:pos="2948"/>
          <w:tab w:val="clear" w:pos="3515"/>
          <w:tab w:val="clear" w:pos="4082"/>
        </w:tabs>
        <w:spacing w:after="120"/>
        <w:ind w:left="1247" w:firstLine="624"/>
        <w:rPr>
          <w:iCs/>
          <w:color w:val="000000"/>
        </w:rPr>
      </w:pPr>
      <w:r w:rsidRPr="00B831E7">
        <w:rPr>
          <w:iCs/>
          <w:color w:val="000000"/>
        </w:rPr>
        <w:t xml:space="preserve">To organize, subject to the availability of resources, and in collaboration with relevant stakeholders, technical assistance activities and awareness-raising events in order to help Parties advance the work on electronic approaches to the notification and movement documents of the Basel </w:t>
      </w:r>
      <w:proofErr w:type="gramStart"/>
      <w:r w:rsidRPr="00B831E7">
        <w:rPr>
          <w:iCs/>
          <w:color w:val="000000"/>
        </w:rPr>
        <w:t>Convention;</w:t>
      </w:r>
      <w:proofErr w:type="gramEnd"/>
    </w:p>
    <w:p w14:paraId="61203C90" w14:textId="77777777" w:rsidR="002E5D8A" w:rsidRPr="00B831E7" w:rsidRDefault="002E5D8A" w:rsidP="002E5D8A">
      <w:pPr>
        <w:pStyle w:val="NormalNonumber"/>
        <w:numPr>
          <w:ilvl w:val="1"/>
          <w:numId w:val="12"/>
        </w:numPr>
        <w:tabs>
          <w:tab w:val="clear" w:pos="1247"/>
          <w:tab w:val="clear" w:pos="1814"/>
          <w:tab w:val="clear" w:pos="2381"/>
          <w:tab w:val="clear" w:pos="2948"/>
          <w:tab w:val="clear" w:pos="3515"/>
          <w:tab w:val="clear" w:pos="4082"/>
        </w:tabs>
        <w:spacing w:after="120"/>
        <w:ind w:left="1247" w:firstLine="624"/>
        <w:rPr>
          <w:iCs/>
          <w:color w:val="000000"/>
        </w:rPr>
      </w:pPr>
      <w:r w:rsidRPr="00B831E7">
        <w:rPr>
          <w:iCs/>
          <w:color w:val="000000"/>
        </w:rPr>
        <w:t xml:space="preserve">To make available on the website of the Convention lessons learned and information about pilot projects as referred to in paragraph 6 of the present </w:t>
      </w:r>
      <w:proofErr w:type="gramStart"/>
      <w:r w:rsidRPr="00B831E7">
        <w:rPr>
          <w:iCs/>
          <w:color w:val="000000"/>
        </w:rPr>
        <w:t>decision;</w:t>
      </w:r>
      <w:proofErr w:type="gramEnd"/>
    </w:p>
    <w:p w14:paraId="2CC04B9C" w14:textId="77777777" w:rsidR="002E5D8A" w:rsidRPr="00B831E7" w:rsidRDefault="002E5D8A" w:rsidP="002E5D8A">
      <w:pPr>
        <w:pStyle w:val="NormalNonumber"/>
        <w:numPr>
          <w:ilvl w:val="1"/>
          <w:numId w:val="12"/>
        </w:numPr>
        <w:tabs>
          <w:tab w:val="clear" w:pos="1247"/>
          <w:tab w:val="clear" w:pos="1814"/>
          <w:tab w:val="clear" w:pos="2381"/>
          <w:tab w:val="clear" w:pos="2948"/>
          <w:tab w:val="clear" w:pos="3515"/>
          <w:tab w:val="clear" w:pos="4082"/>
        </w:tabs>
        <w:spacing w:after="120"/>
        <w:ind w:left="1247" w:firstLine="624"/>
        <w:rPr>
          <w:iCs/>
          <w:color w:val="000000"/>
        </w:rPr>
      </w:pPr>
      <w:r w:rsidRPr="00B831E7">
        <w:rPr>
          <w:iCs/>
          <w:color w:val="000000"/>
        </w:rPr>
        <w:lastRenderedPageBreak/>
        <w:t>To report to the Open-ended Working Group at its thirteenth meeting and to the Conference of the Parties at its sixteenth meeting on progress in the implementation of the present decision.</w:t>
      </w:r>
    </w:p>
    <w:p w14:paraId="1D7F4CB3" w14:textId="3045D38A" w:rsidR="00F935A6" w:rsidRPr="002E5D8A" w:rsidRDefault="00F935A6" w:rsidP="002E5D8A">
      <w:pPr>
        <w:spacing w:after="120"/>
        <w:rPr>
          <w:rFonts w:eastAsia="Times New Roman"/>
          <w:lang w:val="en-GB"/>
        </w:rPr>
      </w:pPr>
    </w:p>
    <w:sectPr w:rsidR="00F935A6" w:rsidRPr="002E5D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803CC" w14:textId="77777777" w:rsidR="00D715BB" w:rsidRDefault="00D715BB" w:rsidP="004956AB">
      <w:r>
        <w:separator/>
      </w:r>
    </w:p>
  </w:endnote>
  <w:endnote w:type="continuationSeparator" w:id="0">
    <w:p w14:paraId="1D1FE93A" w14:textId="77777777" w:rsidR="00D715BB" w:rsidRDefault="00D715BB"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CE443" w14:textId="77777777" w:rsidR="00D715BB" w:rsidRDefault="00D715BB" w:rsidP="004956AB">
      <w:r>
        <w:separator/>
      </w:r>
    </w:p>
  </w:footnote>
  <w:footnote w:type="continuationSeparator" w:id="0">
    <w:p w14:paraId="75DA3A77" w14:textId="77777777" w:rsidR="00D715BB" w:rsidRDefault="00D715BB" w:rsidP="004956AB">
      <w:r>
        <w:continuationSeparator/>
      </w:r>
    </w:p>
  </w:footnote>
  <w:footnote w:id="1">
    <w:p w14:paraId="67E06104" w14:textId="77777777" w:rsidR="002E5D8A" w:rsidRPr="000629DC" w:rsidRDefault="002E5D8A" w:rsidP="002E5D8A">
      <w:pPr>
        <w:pStyle w:val="Footnote-Text"/>
        <w:rPr>
          <w:szCs w:val="18"/>
        </w:rPr>
      </w:pPr>
      <w:r w:rsidRPr="000629DC">
        <w:rPr>
          <w:rStyle w:val="FootnoteReference"/>
        </w:rPr>
        <w:footnoteRef/>
      </w:r>
      <w:r w:rsidRPr="000629DC">
        <w:rPr>
          <w:szCs w:val="18"/>
        </w:rPr>
        <w:t xml:space="preserve"> UNEP/CHW.15/INF/62.</w:t>
      </w:r>
    </w:p>
  </w:footnote>
  <w:footnote w:id="2">
    <w:p w14:paraId="25F6D59C" w14:textId="77777777" w:rsidR="002E5D8A" w:rsidRPr="000629DC" w:rsidRDefault="002E5D8A" w:rsidP="002E5D8A">
      <w:pPr>
        <w:pStyle w:val="Footnote-Text"/>
        <w:rPr>
          <w:szCs w:val="18"/>
        </w:rPr>
      </w:pPr>
      <w:r w:rsidRPr="000629DC">
        <w:rPr>
          <w:szCs w:val="18"/>
          <w:vertAlign w:val="superscript"/>
        </w:rPr>
        <w:footnoteRef/>
      </w:r>
      <w:r w:rsidRPr="000629DC">
        <w:rPr>
          <w:szCs w:val="18"/>
        </w:rPr>
        <w:t xml:space="preserve"> </w:t>
      </w:r>
      <w:hyperlink r:id="rId1" w:history="1">
        <w:r w:rsidRPr="000629DC">
          <w:rPr>
            <w:rStyle w:val="Hyperlink"/>
            <w:szCs w:val="18"/>
          </w:rPr>
          <w:t>www.basel.int/Implementation/Controllingtransboundarymovements/eapproachesfornotificationandmovement/</w:t>
        </w:r>
        <w:r w:rsidRPr="000629DC">
          <w:rPr>
            <w:rStyle w:val="Hyperlink"/>
            <w:szCs w:val="18"/>
          </w:rPr>
          <w:br/>
          <w:t>Meetings/WorkshopOnlineJan2021/tabid/8741/Default.aspx</w:t>
        </w:r>
      </w:hyperlink>
      <w:r w:rsidRPr="000629DC">
        <w:rPr>
          <w:rStyle w:val="Hyperlink"/>
          <w:szCs w:val="18"/>
        </w:rPr>
        <w:t>.</w:t>
      </w:r>
    </w:p>
  </w:footnote>
  <w:footnote w:id="3">
    <w:p w14:paraId="096D7E84" w14:textId="77777777" w:rsidR="002E5D8A" w:rsidRPr="000629DC" w:rsidRDefault="002E5D8A" w:rsidP="002E5D8A">
      <w:pPr>
        <w:pStyle w:val="Footnote-Text"/>
        <w:rPr>
          <w:szCs w:val="18"/>
        </w:rPr>
      </w:pPr>
      <w:r w:rsidRPr="000629DC">
        <w:rPr>
          <w:rStyle w:val="FootnoteReference"/>
        </w:rPr>
        <w:footnoteRef/>
      </w:r>
      <w:r w:rsidRPr="000629DC">
        <w:rPr>
          <w:szCs w:val="18"/>
        </w:rPr>
        <w:t xml:space="preserve"> </w:t>
      </w:r>
      <w:hyperlink r:id="rId2" w:tgtFrame="blank" w:history="1">
        <w:r w:rsidRPr="000629DC">
          <w:rPr>
            <w:szCs w:val="18"/>
          </w:rPr>
          <w:t>UNEP/CHW/CC.12/11/Add.2</w:t>
        </w:r>
      </w:hyperlink>
      <w:r w:rsidRPr="000629DC">
        <w:rPr>
          <w:szCs w:val="18"/>
        </w:rPr>
        <w:t xml:space="preserve">, </w:t>
      </w:r>
      <w:hyperlink r:id="rId3" w:history="1">
        <w:r w:rsidRPr="000629DC">
          <w:rPr>
            <w:szCs w:val="18"/>
          </w:rPr>
          <w:t>UNEP/CHW/OEWG.11/INF/21</w:t>
        </w:r>
      </w:hyperlink>
      <w:r w:rsidRPr="000629DC">
        <w:rPr>
          <w:szCs w:val="18"/>
        </w:rPr>
        <w:t xml:space="preserve"> and UNEP/CHW.15/INF/62.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3"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549535577">
    <w:abstractNumId w:val="4"/>
  </w:num>
  <w:num w:numId="2" w16cid:durableId="1473252469">
    <w:abstractNumId w:val="0"/>
  </w:num>
  <w:num w:numId="3" w16cid:durableId="1856917451">
    <w:abstractNumId w:val="10"/>
  </w:num>
  <w:num w:numId="4" w16cid:durableId="1559896294">
    <w:abstractNumId w:val="8"/>
  </w:num>
  <w:num w:numId="5" w16cid:durableId="1636064875">
    <w:abstractNumId w:val="1"/>
  </w:num>
  <w:num w:numId="6" w16cid:durableId="1075932777">
    <w:abstractNumId w:val="9"/>
  </w:num>
  <w:num w:numId="7" w16cid:durableId="1541168782">
    <w:abstractNumId w:val="5"/>
  </w:num>
  <w:num w:numId="8" w16cid:durableId="761536350">
    <w:abstractNumId w:val="3"/>
  </w:num>
  <w:num w:numId="9" w16cid:durableId="252052453">
    <w:abstractNumId w:val="7"/>
  </w:num>
  <w:num w:numId="10" w16cid:durableId="1032876827">
    <w:abstractNumId w:val="6"/>
  </w:num>
  <w:num w:numId="11" w16cid:durableId="657073234">
    <w:abstractNumId w:val="2"/>
  </w:num>
  <w:num w:numId="12" w16cid:durableId="2340466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3A5F"/>
    <w:rsid w:val="002E5D8A"/>
    <w:rsid w:val="004956AB"/>
    <w:rsid w:val="00542DFC"/>
    <w:rsid w:val="00836B73"/>
    <w:rsid w:val="00884140"/>
    <w:rsid w:val="00C24420"/>
    <w:rsid w:val="00C84536"/>
    <w:rsid w:val="00D715BB"/>
    <w:rsid w:val="00DF06C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Portals/4/download.aspx?d=UNEP-CHW-OEWG.11-INF-21.English.pdf" TargetMode="External"/><Relationship Id="rId2" Type="http://schemas.openxmlformats.org/officeDocument/2006/relationships/hyperlink" Target="http://www.basel.int/Portals/4/download.aspx?d=UNEP-CHW-CC.12-11-Add.2.English.pdf" TargetMode="External"/><Relationship Id="rId1" Type="http://schemas.openxmlformats.org/officeDocument/2006/relationships/hyperlink" Target="http://www.basel.int/Implementation/Controllingtransboundarymovements/eapproachesfornotificationandmovement/Meetings/WorkshopOnlineJan2021/tabid/8741/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506</Words>
  <Characters>2885</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2023-04-24T13:03:00Z</dcterms:created>
  <dcterms:modified xsi:type="dcterms:W3CDTF">2023-04-24T13:03:00Z</dcterms:modified>
</cp:coreProperties>
</file>