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0F15D" w14:textId="6B174338" w:rsidR="00F36D44" w:rsidRPr="003A2CB9" w:rsidRDefault="00F36D44" w:rsidP="00F36D44">
      <w:pPr>
        <w:suppressAutoHyphens/>
        <w:ind w:left="1247"/>
        <w:rPr>
          <w:rFonts w:eastAsia="Calibri"/>
          <w:b/>
          <w:sz w:val="28"/>
          <w:szCs w:val="28"/>
        </w:rPr>
      </w:pPr>
      <w:bookmarkStart w:id="0" w:name="_Hlk106791693"/>
      <w:r w:rsidRPr="003A2CB9">
        <w:rPr>
          <w:rFonts w:eastAsia="Calibri"/>
          <w:b/>
          <w:bCs/>
          <w:sz w:val="28"/>
          <w:szCs w:val="28"/>
        </w:rPr>
        <w:t>БК-15/14: Электронный оборот документов об уведомлениях и перевозках</w:t>
      </w:r>
      <w:r w:rsidRPr="003A2CB9">
        <w:rPr>
          <w:rFonts w:eastAsia="Calibri"/>
          <w:b/>
          <w:sz w:val="28"/>
          <w:szCs w:val="28"/>
        </w:rPr>
        <w:t xml:space="preserve"> </w:t>
      </w:r>
      <w:bookmarkStart w:id="1" w:name="_Hlk106791680"/>
      <w:bookmarkEnd w:id="1"/>
    </w:p>
    <w:bookmarkEnd w:id="0"/>
    <w:p w14:paraId="55B83009" w14:textId="77777777" w:rsidR="00F36D44" w:rsidRPr="003A2CB9" w:rsidRDefault="00F36D44" w:rsidP="00F36D44">
      <w:pPr>
        <w:ind w:left="1247" w:firstLine="624"/>
        <w:rPr>
          <w:rFonts w:eastAsia="Calibri"/>
          <w:i/>
          <w:iCs/>
          <w:lang w:val="en-US"/>
        </w:rPr>
      </w:pPr>
      <w:r w:rsidRPr="003A2CB9">
        <w:rPr>
          <w:rFonts w:eastAsia="Calibri"/>
          <w:i/>
          <w:iCs/>
        </w:rPr>
        <w:t>Конференция Сторон,</w:t>
      </w:r>
    </w:p>
    <w:p w14:paraId="1617AC67" w14:textId="77777777" w:rsidR="00F36D44" w:rsidRPr="003A2CB9" w:rsidRDefault="00F36D44" w:rsidP="00F36D44">
      <w:pPr>
        <w:numPr>
          <w:ilvl w:val="0"/>
          <w:numId w:val="22"/>
        </w:numPr>
        <w:ind w:left="1247" w:firstLine="624"/>
        <w:rPr>
          <w:rFonts w:eastAsia="SimSun"/>
          <w:iCs/>
        </w:rPr>
      </w:pPr>
      <w:r w:rsidRPr="003A2CB9">
        <w:rPr>
          <w:rFonts w:eastAsia="Calibri"/>
          <w:i/>
          <w:iCs/>
        </w:rPr>
        <w:t xml:space="preserve">принимает к сведению </w:t>
      </w:r>
      <w:r w:rsidRPr="003A2CB9">
        <w:rPr>
          <w:rFonts w:eastAsia="Calibri"/>
        </w:rPr>
        <w:t>доклад секретариата об опыте на национальном и международном уровнях в деле разработки и внедрения электронных систем обмена информацией о товарах и отходах или о контроле за их перевозками и об уроках, извлеченных из такого опыта</w:t>
      </w:r>
      <w:r w:rsidRPr="003A2CB9">
        <w:rPr>
          <w:rFonts w:eastAsia="SimSun"/>
          <w:iCs/>
          <w:vertAlign w:val="superscript"/>
        </w:rPr>
        <w:footnoteReference w:id="1"/>
      </w:r>
      <w:r w:rsidRPr="003A2CB9">
        <w:rPr>
          <w:rFonts w:eastAsia="Calibri"/>
        </w:rPr>
        <w:t xml:space="preserve">, включая разработанные международными организациями соответствующие стандарты и инициативы, имеющие отношение к работе, проводимой в рамках Базельской конвенции о контроле за трансграничной перевозкой опасных отходов и их удалением, такие как, в частности, Центр Организации Объединенных Наций по упрощению процедур торговли и электронным деловым операциям, модель данных Всемирной таможенной организации и Автоматизированная система обработки таможенных данных; </w:t>
      </w:r>
    </w:p>
    <w:p w14:paraId="253DAACF" w14:textId="77777777" w:rsidR="00F36D44" w:rsidRPr="003A2CB9" w:rsidRDefault="00F36D44" w:rsidP="00F36D44">
      <w:pPr>
        <w:numPr>
          <w:ilvl w:val="0"/>
          <w:numId w:val="22"/>
        </w:numPr>
        <w:ind w:left="1247" w:firstLine="624"/>
        <w:rPr>
          <w:rFonts w:eastAsia="SimSun"/>
          <w:iCs/>
        </w:rPr>
      </w:pPr>
      <w:bookmarkStart w:id="2" w:name="_Hlk106791760"/>
      <w:r w:rsidRPr="003A2CB9">
        <w:rPr>
          <w:rFonts w:eastAsia="Calibri"/>
          <w:i/>
          <w:iCs/>
        </w:rPr>
        <w:t>постановляет</w:t>
      </w:r>
      <w:r w:rsidRPr="003A2CB9">
        <w:rPr>
          <w:rFonts w:eastAsia="Calibri"/>
        </w:rPr>
        <w:t xml:space="preserve"> создать небольшую межсессионную рабочую группу, действующую с использованием электронных средств, для дальнейшего изучения электронного оборота документов об уведомлениях и перевозках, принимая во внимание доклад о первом консультативном семинаре-практикуме по электронным подходам к документам об уведомлениях и перевозках в рамках Базельской конвенции</w:t>
      </w:r>
      <w:r w:rsidRPr="003A2CB9">
        <w:rPr>
          <w:rFonts w:eastAsia="Calibri"/>
          <w:szCs w:val="18"/>
          <w:vertAlign w:val="superscript"/>
        </w:rPr>
        <w:footnoteReference w:id="2"/>
      </w:r>
      <w:r w:rsidRPr="003A2CB9">
        <w:rPr>
          <w:rFonts w:eastAsia="Calibri"/>
        </w:rPr>
        <w:t>, включая изложенные в нем вопросы для дальнейшего обсуждения, а также предыдущие доклады, подготовленные по этой теме</w:t>
      </w:r>
      <w:r w:rsidRPr="003A2CB9">
        <w:rPr>
          <w:rFonts w:eastAsia="SimSun"/>
          <w:iCs/>
          <w:vertAlign w:val="superscript"/>
        </w:rPr>
        <w:footnoteReference w:id="3"/>
      </w:r>
      <w:r w:rsidRPr="003A2CB9">
        <w:rPr>
          <w:rFonts w:eastAsia="Calibri"/>
        </w:rPr>
        <w:t>;</w:t>
      </w:r>
      <w:bookmarkStart w:id="3" w:name="_Hlk106791923"/>
      <w:bookmarkEnd w:id="2"/>
      <w:bookmarkEnd w:id="3"/>
    </w:p>
    <w:p w14:paraId="49CE944D" w14:textId="77777777" w:rsidR="00F36D44" w:rsidRPr="003A2CB9" w:rsidRDefault="00F36D44" w:rsidP="00F36D44">
      <w:pPr>
        <w:numPr>
          <w:ilvl w:val="0"/>
          <w:numId w:val="22"/>
        </w:numPr>
        <w:ind w:left="1247" w:firstLine="624"/>
        <w:rPr>
          <w:rFonts w:eastAsia="Calibri"/>
          <w:iCs/>
        </w:rPr>
      </w:pPr>
      <w:r w:rsidRPr="003A2CB9">
        <w:rPr>
          <w:rFonts w:eastAsia="Calibri"/>
          <w:i/>
          <w:iCs/>
        </w:rPr>
        <w:t>предлагает</w:t>
      </w:r>
      <w:r w:rsidRPr="003A2CB9">
        <w:rPr>
          <w:rFonts w:eastAsia="Calibri"/>
        </w:rPr>
        <w:t xml:space="preserve"> Сторонам и наблюдателям назначить экспертов, обладающих соответствующими знаниями и опытом в осуществлении процедуры предварительного обоснованного согласия Базельской конвенции, а также экспертов, имеющих опыт разработки программного обеспечения в области торговли, таможенного дела или смежных областях, для участия в небольшой межсессионной рабочей группе и информировать секретариат о назначенных ими экспертах не позднее 31 июля 2022 года;</w:t>
      </w:r>
    </w:p>
    <w:p w14:paraId="151C244B" w14:textId="77777777" w:rsidR="00F36D44" w:rsidRPr="003A2CB9" w:rsidRDefault="00F36D44" w:rsidP="00F36D44">
      <w:pPr>
        <w:numPr>
          <w:ilvl w:val="0"/>
          <w:numId w:val="22"/>
        </w:numPr>
        <w:ind w:left="1247" w:firstLine="624"/>
        <w:rPr>
          <w:rFonts w:eastAsia="Calibri"/>
          <w:iCs/>
        </w:rPr>
      </w:pPr>
      <w:r w:rsidRPr="003A2CB9">
        <w:rPr>
          <w:rFonts w:eastAsia="Calibri"/>
          <w:i/>
          <w:iCs/>
        </w:rPr>
        <w:t>предлагает</w:t>
      </w:r>
      <w:r w:rsidRPr="003A2CB9">
        <w:rPr>
          <w:rFonts w:eastAsia="Calibri"/>
        </w:rPr>
        <w:t xml:space="preserve"> Сторонам рассмотреть возможность выполнения функций ведущих стран при проведении работы, о которой говорится в пункте 2 настоящего решения, и информировать секретариат о своей готовности выполнять такие функции не позднее 31 июля 2022 года;</w:t>
      </w:r>
    </w:p>
    <w:p w14:paraId="73A90E4F" w14:textId="77777777" w:rsidR="00F36D44" w:rsidRPr="003A2CB9" w:rsidRDefault="00F36D44" w:rsidP="00F36D44">
      <w:pPr>
        <w:numPr>
          <w:ilvl w:val="0"/>
          <w:numId w:val="22"/>
        </w:numPr>
        <w:ind w:left="1247" w:firstLine="624"/>
        <w:rPr>
          <w:rFonts w:eastAsia="Calibri"/>
          <w:iCs/>
        </w:rPr>
      </w:pPr>
      <w:r w:rsidRPr="003A2CB9">
        <w:rPr>
          <w:rFonts w:eastAsia="Calibri"/>
          <w:i/>
          <w:iCs/>
        </w:rPr>
        <w:t>просит</w:t>
      </w:r>
      <w:r w:rsidRPr="003A2CB9">
        <w:rPr>
          <w:rFonts w:eastAsia="Calibri"/>
        </w:rPr>
        <w:t xml:space="preserve"> ведущую страну или страны или, в случае отсутствия ведущей страны или стран, секретариат, при условии наличия ресурсов и в консультации с небольшой межсессионной рабочей группой подготовить доклад с рекомендациями о дальнейших шагах, касающихся работы над электронным оборотом документов об уведомлениях и перевозках, включая вопросы для дальнейшего обсуждения, </w:t>
      </w:r>
      <w:r>
        <w:rPr>
          <w:rFonts w:eastAsia="Calibri"/>
        </w:rPr>
        <w:t>о которых говорится</w:t>
      </w:r>
      <w:r w:rsidRPr="003A2CB9">
        <w:rPr>
          <w:rFonts w:eastAsia="Calibri"/>
        </w:rPr>
        <w:t xml:space="preserve"> в пункте 2 настоящего решения, но не ограничиваясь ими, для рассмотрения Рабочей группой открытого состава на ее тринадцатом совещании;</w:t>
      </w:r>
    </w:p>
    <w:p w14:paraId="3796EE53" w14:textId="77777777" w:rsidR="00F36D44" w:rsidRPr="003A2CB9" w:rsidRDefault="00F36D44" w:rsidP="00F36D44">
      <w:pPr>
        <w:numPr>
          <w:ilvl w:val="0"/>
          <w:numId w:val="22"/>
        </w:numPr>
        <w:ind w:left="1247" w:firstLine="624"/>
        <w:rPr>
          <w:rFonts w:eastAsia="SimSun"/>
          <w:iCs/>
        </w:rPr>
      </w:pPr>
      <w:r w:rsidRPr="003A2CB9">
        <w:rPr>
          <w:rFonts w:eastAsia="Calibri"/>
          <w:i/>
          <w:iCs/>
        </w:rPr>
        <w:t>предлагает</w:t>
      </w:r>
      <w:r w:rsidRPr="003A2CB9">
        <w:rPr>
          <w:rFonts w:eastAsia="Calibri"/>
        </w:rPr>
        <w:t xml:space="preserve"> Сторонам на добровольной основе работать над экспериментальными проектами по электронному обороту документов об уведомлениях и перевозках с учетом опыта других Сторон и стран, не являющихся Сторонами, а также работы, проводимой другими международными организациями, и представить секретариату информацию о полученных результатах; </w:t>
      </w:r>
    </w:p>
    <w:p w14:paraId="3441C949" w14:textId="77777777" w:rsidR="00F36D44" w:rsidRPr="003A2CB9" w:rsidRDefault="00F36D44" w:rsidP="00F36D44">
      <w:pPr>
        <w:numPr>
          <w:ilvl w:val="0"/>
          <w:numId w:val="22"/>
        </w:numPr>
        <w:ind w:left="1247" w:firstLine="624"/>
        <w:rPr>
          <w:rFonts w:eastAsia="Calibri"/>
          <w:lang w:val="en-US"/>
        </w:rPr>
      </w:pPr>
      <w:r w:rsidRPr="003A2CB9">
        <w:rPr>
          <w:rFonts w:eastAsia="Calibri"/>
          <w:i/>
          <w:iCs/>
        </w:rPr>
        <w:t>поручает</w:t>
      </w:r>
      <w:r w:rsidRPr="003A2CB9">
        <w:rPr>
          <w:rFonts w:eastAsia="Calibri"/>
        </w:rPr>
        <w:t xml:space="preserve"> секретариату:</w:t>
      </w:r>
    </w:p>
    <w:p w14:paraId="5AD3B4E8" w14:textId="77777777" w:rsidR="00F36D44" w:rsidRPr="003A2CB9" w:rsidRDefault="00F36D44" w:rsidP="00F36D44">
      <w:pPr>
        <w:numPr>
          <w:ilvl w:val="1"/>
          <w:numId w:val="22"/>
        </w:numPr>
        <w:ind w:left="1247" w:firstLine="624"/>
        <w:rPr>
          <w:rFonts w:eastAsia="Calibri"/>
          <w:iCs/>
          <w:color w:val="000000"/>
        </w:rPr>
      </w:pPr>
      <w:r w:rsidRPr="003A2CB9">
        <w:rPr>
          <w:rFonts w:eastAsia="Calibri"/>
        </w:rPr>
        <w:t xml:space="preserve">организовывать, при условии наличия ресурсов и в сотрудничестве с соответствующими заинтересованными сторонами, мероприятия по оказанию технической помощи и повышению осведомленности, чтобы содействовать Сторонам в продолжении </w:t>
      </w:r>
      <w:r w:rsidRPr="003A2CB9">
        <w:rPr>
          <w:rFonts w:eastAsia="Calibri"/>
        </w:rPr>
        <w:lastRenderedPageBreak/>
        <w:t>работы над электронным оборотом документов об уведомлениях и перевозках в рамках Базельской конвенции;</w:t>
      </w:r>
    </w:p>
    <w:p w14:paraId="06D01BC0" w14:textId="77777777" w:rsidR="00F36D44" w:rsidRPr="003A2CB9" w:rsidRDefault="00F36D44" w:rsidP="00F36D44">
      <w:pPr>
        <w:numPr>
          <w:ilvl w:val="1"/>
          <w:numId w:val="22"/>
        </w:numPr>
        <w:ind w:left="1247" w:firstLine="624"/>
        <w:rPr>
          <w:rFonts w:eastAsia="Calibri"/>
          <w:iCs/>
          <w:color w:val="000000"/>
        </w:rPr>
      </w:pPr>
      <w:r w:rsidRPr="003A2CB9">
        <w:rPr>
          <w:rFonts w:eastAsia="Calibri"/>
        </w:rPr>
        <w:t>опубликовать на веб-сайте Конвенции информацию о полученных результатах и экспериментальных проектах, о которых говорится в пункте 6 настоящего решения;</w:t>
      </w:r>
    </w:p>
    <w:p w14:paraId="78C544B3" w14:textId="77777777" w:rsidR="00F36D44" w:rsidRPr="003A2CB9" w:rsidRDefault="00F36D44" w:rsidP="00F36D44">
      <w:pPr>
        <w:numPr>
          <w:ilvl w:val="1"/>
          <w:numId w:val="22"/>
        </w:numPr>
        <w:ind w:left="1247" w:firstLine="624"/>
        <w:rPr>
          <w:rFonts w:eastAsia="Calibri"/>
          <w:iCs/>
          <w:color w:val="000000"/>
        </w:rPr>
      </w:pPr>
      <w:r w:rsidRPr="003A2CB9">
        <w:rPr>
          <w:rFonts w:eastAsia="Calibri"/>
        </w:rPr>
        <w:t>представить Рабочей группе открытого состава на ее тринадцатом совещании и Конференции Сторон на ее шестнадцатом совещании доклад о ходе осуществления настоящего решения.</w:t>
      </w:r>
    </w:p>
    <w:p w14:paraId="72A577FA" w14:textId="7BA75DC0" w:rsidR="00F935A6" w:rsidRPr="00F36D44" w:rsidRDefault="00F935A6" w:rsidP="00F36D44"/>
    <w:sectPr w:rsidR="00F935A6" w:rsidRPr="00F36D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F4133" w14:textId="77777777" w:rsidR="001520BC" w:rsidRDefault="001520BC" w:rsidP="002B66BF">
      <w:pPr>
        <w:spacing w:after="0"/>
      </w:pPr>
      <w:r>
        <w:separator/>
      </w:r>
    </w:p>
  </w:endnote>
  <w:endnote w:type="continuationSeparator" w:id="0">
    <w:p w14:paraId="7B391D4D" w14:textId="77777777" w:rsidR="001520BC" w:rsidRDefault="001520BC"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C956A" w14:textId="77777777" w:rsidR="001520BC" w:rsidRDefault="001520BC" w:rsidP="002B66BF">
      <w:pPr>
        <w:spacing w:after="0"/>
      </w:pPr>
      <w:r>
        <w:separator/>
      </w:r>
    </w:p>
  </w:footnote>
  <w:footnote w:type="continuationSeparator" w:id="0">
    <w:p w14:paraId="6EE03D1A" w14:textId="77777777" w:rsidR="001520BC" w:rsidRDefault="001520BC" w:rsidP="002B66BF">
      <w:pPr>
        <w:spacing w:after="0"/>
      </w:pPr>
      <w:r>
        <w:continuationSeparator/>
      </w:r>
    </w:p>
  </w:footnote>
  <w:footnote w:id="1">
    <w:p w14:paraId="42E990D2" w14:textId="77777777" w:rsidR="00F36D44" w:rsidRPr="00D54A0B" w:rsidRDefault="00F36D44" w:rsidP="00F36D44">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54A0B">
        <w:rPr>
          <w:rStyle w:val="FootnoteReference"/>
          <w:sz w:val="18"/>
        </w:rPr>
        <w:footnoteRef/>
      </w:r>
      <w:r w:rsidRPr="00D54A0B">
        <w:rPr>
          <w:sz w:val="18"/>
          <w:szCs w:val="18"/>
          <w:lang w:val="en-GB"/>
        </w:rPr>
        <w:t xml:space="preserve"> </w:t>
      </w:r>
      <w:r>
        <w:rPr>
          <w:sz w:val="18"/>
          <w:szCs w:val="18"/>
          <w:lang w:val="en-GB"/>
        </w:rPr>
        <w:tab/>
      </w:r>
      <w:r w:rsidRPr="00D54A0B">
        <w:rPr>
          <w:sz w:val="18"/>
          <w:szCs w:val="18"/>
          <w:lang w:val="en-GB"/>
        </w:rPr>
        <w:t>UNEP/CHW.15/INF/62.</w:t>
      </w:r>
    </w:p>
  </w:footnote>
  <w:footnote w:id="2">
    <w:p w14:paraId="1565A3A1" w14:textId="77777777" w:rsidR="00F36D44" w:rsidRPr="00D54A0B" w:rsidRDefault="00F36D44" w:rsidP="00F36D44">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54A0B">
        <w:rPr>
          <w:rStyle w:val="FootnoteReference"/>
          <w:sz w:val="18"/>
        </w:rPr>
        <w:footnoteRef/>
      </w:r>
      <w:r w:rsidRPr="00D54A0B">
        <w:rPr>
          <w:sz w:val="18"/>
          <w:szCs w:val="18"/>
          <w:lang w:val="en-GB"/>
        </w:rPr>
        <w:t xml:space="preserve"> </w:t>
      </w:r>
      <w:r>
        <w:rPr>
          <w:sz w:val="18"/>
          <w:szCs w:val="18"/>
          <w:lang w:val="en-GB"/>
        </w:rPr>
        <w:tab/>
      </w:r>
      <w:r w:rsidRPr="00D54A0B">
        <w:rPr>
          <w:sz w:val="18"/>
          <w:szCs w:val="18"/>
          <w:lang w:val="en-GB"/>
        </w:rPr>
        <w:t>http://basel.int/Implementation/Controllingtransboundarymovements/ eapproachesfornotificationandmovement/Overview/tabid/7375/Default.aspx.</w:t>
      </w:r>
    </w:p>
  </w:footnote>
  <w:footnote w:id="3">
    <w:p w14:paraId="77431B12" w14:textId="77777777" w:rsidR="00F36D44" w:rsidRPr="00D54A0B" w:rsidRDefault="00F36D44" w:rsidP="00F36D44">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54A0B">
        <w:rPr>
          <w:sz w:val="18"/>
          <w:szCs w:val="18"/>
          <w:vertAlign w:val="superscript"/>
        </w:rPr>
        <w:footnoteRef/>
      </w:r>
      <w:r w:rsidRPr="00D54A0B">
        <w:rPr>
          <w:sz w:val="18"/>
          <w:szCs w:val="18"/>
          <w:lang w:val="en-GB"/>
        </w:rPr>
        <w:t xml:space="preserve"> </w:t>
      </w:r>
      <w:r>
        <w:rPr>
          <w:sz w:val="18"/>
          <w:szCs w:val="18"/>
          <w:lang w:val="en-GB"/>
        </w:rPr>
        <w:tab/>
      </w:r>
      <w:r w:rsidRPr="00D54A0B">
        <w:rPr>
          <w:sz w:val="18"/>
          <w:szCs w:val="18"/>
          <w:lang w:val="en-GB"/>
        </w:rPr>
        <w:t xml:space="preserve">UNEP/CHW/CC.12/11/Add.2, UNEP/CHW/OEWG.11/INF/21 </w:t>
      </w:r>
      <w:r w:rsidRPr="00D54A0B">
        <w:rPr>
          <w:sz w:val="18"/>
          <w:szCs w:val="18"/>
        </w:rPr>
        <w:t>и</w:t>
      </w:r>
      <w:r w:rsidRPr="00D54A0B">
        <w:rPr>
          <w:sz w:val="18"/>
          <w:szCs w:val="18"/>
          <w:lang w:val="en-GB"/>
        </w:rPr>
        <w:t xml:space="preserve"> UNEP/CHW.15/INF/62.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4"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911741218">
    <w:abstractNumId w:val="10"/>
  </w:num>
  <w:num w:numId="2" w16cid:durableId="1985698457">
    <w:abstractNumId w:val="11"/>
  </w:num>
  <w:num w:numId="3" w16cid:durableId="1993219452">
    <w:abstractNumId w:val="12"/>
  </w:num>
  <w:num w:numId="4" w16cid:durableId="178666977">
    <w:abstractNumId w:val="1"/>
  </w:num>
  <w:num w:numId="5" w16cid:durableId="1172839810">
    <w:abstractNumId w:val="15"/>
  </w:num>
  <w:num w:numId="6" w16cid:durableId="814758448">
    <w:abstractNumId w:val="18"/>
  </w:num>
  <w:num w:numId="7" w16cid:durableId="1908103088">
    <w:abstractNumId w:val="16"/>
  </w:num>
  <w:num w:numId="8" w16cid:durableId="921450883">
    <w:abstractNumId w:val="20"/>
  </w:num>
  <w:num w:numId="9" w16cid:durableId="520977107">
    <w:abstractNumId w:val="0"/>
  </w:num>
  <w:num w:numId="10" w16cid:durableId="1338776817">
    <w:abstractNumId w:val="13"/>
  </w:num>
  <w:num w:numId="11" w16cid:durableId="943608533">
    <w:abstractNumId w:val="6"/>
  </w:num>
  <w:num w:numId="12" w16cid:durableId="78336049">
    <w:abstractNumId w:val="2"/>
  </w:num>
  <w:num w:numId="13" w16cid:durableId="254870960">
    <w:abstractNumId w:val="19"/>
  </w:num>
  <w:num w:numId="14" w16cid:durableId="1808276422">
    <w:abstractNumId w:val="14"/>
  </w:num>
  <w:num w:numId="15" w16cid:durableId="538929816">
    <w:abstractNumId w:val="3"/>
  </w:num>
  <w:num w:numId="16" w16cid:durableId="616522559">
    <w:abstractNumId w:val="17"/>
  </w:num>
  <w:num w:numId="17" w16cid:durableId="115949650">
    <w:abstractNumId w:val="7"/>
  </w:num>
  <w:num w:numId="18" w16cid:durableId="1232617130">
    <w:abstractNumId w:val="5"/>
  </w:num>
  <w:num w:numId="19" w16cid:durableId="791749502">
    <w:abstractNumId w:val="9"/>
  </w:num>
  <w:num w:numId="20" w16cid:durableId="1014646889">
    <w:abstractNumId w:val="8"/>
  </w:num>
  <w:num w:numId="21" w16cid:durableId="892082095">
    <w:abstractNumId w:val="4"/>
  </w:num>
  <w:num w:numId="22" w16cid:durableId="38692605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1520BC"/>
    <w:rsid w:val="002B66BF"/>
    <w:rsid w:val="003C0A29"/>
    <w:rsid w:val="00475395"/>
    <w:rsid w:val="005B1C5E"/>
    <w:rsid w:val="00617E26"/>
    <w:rsid w:val="007A72EB"/>
    <w:rsid w:val="00836B73"/>
    <w:rsid w:val="00872B69"/>
    <w:rsid w:val="009B16ED"/>
    <w:rsid w:val="00C84536"/>
    <w:rsid w:val="00CA40F2"/>
    <w:rsid w:val="00E75C1B"/>
    <w:rsid w:val="00F36D44"/>
    <w:rsid w:val="00F7003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3019</Characters>
  <Application>Microsoft Office Word</Application>
  <DocSecurity>0</DocSecurity>
  <Lines>25</Lines>
  <Paragraphs>7</Paragraphs>
  <ScaleCrop>false</ScaleCrop>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2023-05-22T12:56:00Z</dcterms:created>
  <dcterms:modified xsi:type="dcterms:W3CDTF">2023-05-22T12:56:00Z</dcterms:modified>
</cp:coreProperties>
</file>