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6DC1C" w14:textId="77777777" w:rsidR="00E044F2" w:rsidRPr="00B831E7" w:rsidRDefault="00E044F2" w:rsidP="00E044F2">
      <w:pPr>
        <w:pStyle w:val="CH1"/>
        <w:spacing w:before="0"/>
      </w:pPr>
      <w:bookmarkStart w:id="0" w:name="_Hlk106792153"/>
      <w:r w:rsidRPr="00B831E7">
        <w:tab/>
      </w:r>
      <w:r w:rsidRPr="00B831E7">
        <w:tab/>
        <w:t xml:space="preserve">BC-15/15: Further consideration of plastic waste </w:t>
      </w:r>
    </w:p>
    <w:bookmarkEnd w:id="0"/>
    <w:p w14:paraId="6FA70AE4" w14:textId="77777777" w:rsidR="00E044F2" w:rsidRPr="00B831E7" w:rsidRDefault="00E044F2" w:rsidP="00E044F2">
      <w:pPr>
        <w:pStyle w:val="Normal-pool"/>
        <w:spacing w:after="120"/>
        <w:ind w:left="1247" w:firstLine="624"/>
        <w:rPr>
          <w:i/>
          <w:iCs/>
        </w:rPr>
      </w:pPr>
      <w:r w:rsidRPr="00B831E7">
        <w:rPr>
          <w:i/>
          <w:iCs/>
        </w:rPr>
        <w:t>The Conference of the Parties</w:t>
      </w:r>
    </w:p>
    <w:p w14:paraId="7659BC2B"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r w:rsidRPr="00B831E7">
        <w:rPr>
          <w:i/>
          <w:iCs/>
        </w:rPr>
        <w:t xml:space="preserve">Takes note </w:t>
      </w:r>
      <w:r w:rsidRPr="00B831E7">
        <w:t>of the background information related to a possible future assessment of the effectiveness of the measures taken under the Basel Convention to address plastic waste and to possible further activities that could be conducted under the Convention</w:t>
      </w:r>
      <w:r w:rsidRPr="00B831E7">
        <w:rPr>
          <w:iCs/>
        </w:rPr>
        <w:t>;</w:t>
      </w:r>
      <w:r w:rsidRPr="00B831E7">
        <w:rPr>
          <w:vertAlign w:val="superscript"/>
        </w:rPr>
        <w:footnoteReference w:id="1"/>
      </w:r>
      <w:r w:rsidRPr="00B831E7">
        <w:t xml:space="preserve"> of the information on certain plastic wastes referred to in entry Y48 in Annex II and entry B3011 in Annex IX to the Convention submitted by Parties and others in response to paragraph 35 of decision BC-14/13;</w:t>
      </w:r>
      <w:r w:rsidRPr="00B831E7">
        <w:rPr>
          <w:vertAlign w:val="superscript"/>
        </w:rPr>
        <w:footnoteReference w:id="2"/>
      </w:r>
      <w:r w:rsidRPr="00B831E7">
        <w:t xml:space="preserve"> and of the report by the United Nations Environment Programme on the implementation of the United Nations Environment Assembly resolutions on marine litter and microplastics;</w:t>
      </w:r>
      <w:r w:rsidRPr="00B831E7">
        <w:rPr>
          <w:vertAlign w:val="superscript"/>
        </w:rPr>
        <w:footnoteReference w:id="3"/>
      </w:r>
    </w:p>
    <w:p w14:paraId="6B94BAD3"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r w:rsidRPr="00B831E7">
        <w:rPr>
          <w:i/>
          <w:iCs/>
        </w:rPr>
        <w:t>Recalls</w:t>
      </w:r>
      <w:r w:rsidRPr="00B831E7">
        <w:t xml:space="preserve"> decision BC-10/6, by which it adopted the technical guidelines on the environmentally sound management of used and waste pneumatic tyres;</w:t>
      </w:r>
      <w:r w:rsidRPr="00B831E7">
        <w:rPr>
          <w:vertAlign w:val="superscript"/>
        </w:rPr>
        <w:footnoteReference w:id="4"/>
      </w:r>
    </w:p>
    <w:p w14:paraId="43D01E92"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bookmarkStart w:id="2" w:name="_Hlk106792179"/>
      <w:r w:rsidRPr="00B831E7">
        <w:rPr>
          <w:i/>
          <w:iCs/>
        </w:rPr>
        <w:t>Decides</w:t>
      </w:r>
      <w:r w:rsidRPr="00B831E7">
        <w:t xml:space="preserve"> to update the technical guidelines on the environmentally sound management of used and waste pneumatic tyres mentioned in paragraph 2 of the present </w:t>
      </w:r>
      <w:proofErr w:type="gramStart"/>
      <w:r w:rsidRPr="00B831E7">
        <w:t>decision;</w:t>
      </w:r>
      <w:proofErr w:type="gramEnd"/>
      <w:r w:rsidRPr="00B831E7">
        <w:t xml:space="preserve"> </w:t>
      </w:r>
    </w:p>
    <w:bookmarkEnd w:id="2"/>
    <w:p w14:paraId="2231B2DD"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r w:rsidRPr="00B831E7">
        <w:rPr>
          <w:i/>
          <w:iCs/>
        </w:rPr>
        <w:t>Invites</w:t>
      </w:r>
      <w:r w:rsidRPr="00B831E7">
        <w:t xml:space="preserve"> Parties to consider serving as lead countries for the updating of the guidelines and to inform the Secretariat by 31 July 2022 of their willingness to do </w:t>
      </w:r>
      <w:proofErr w:type="gramStart"/>
      <w:r w:rsidRPr="00B831E7">
        <w:t>so;</w:t>
      </w:r>
      <w:proofErr w:type="gramEnd"/>
    </w:p>
    <w:p w14:paraId="67A78A5F"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bookmarkStart w:id="3" w:name="_Hlk106792341"/>
      <w:r w:rsidRPr="00B831E7">
        <w:rPr>
          <w:i/>
          <w:iCs/>
        </w:rPr>
        <w:t>Decides</w:t>
      </w:r>
      <w:r w:rsidRPr="00B831E7">
        <w:t xml:space="preserve"> to establish a small intersessional working group, operating by electronic means and, subject to the availability of resources, through face-to-face meetings, to undertake the updating of the </w:t>
      </w:r>
      <w:proofErr w:type="gramStart"/>
      <w:r w:rsidRPr="00B831E7">
        <w:t>guidelines;</w:t>
      </w:r>
      <w:proofErr w:type="gramEnd"/>
      <w:r w:rsidRPr="00B831E7">
        <w:t xml:space="preserve"> </w:t>
      </w:r>
    </w:p>
    <w:p w14:paraId="2174404C"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r w:rsidRPr="00B831E7">
        <w:rPr>
          <w:i/>
          <w:iCs/>
        </w:rPr>
        <w:t>Invites</w:t>
      </w:r>
      <w:r w:rsidRPr="00B831E7">
        <w:t xml:space="preserve"> Parties and others to nominate experts to participate in the small intersessional working group and to inform the Secretariat of their nominations by 31 July </w:t>
      </w:r>
      <w:proofErr w:type="gramStart"/>
      <w:r w:rsidRPr="00B831E7">
        <w:t>2022;</w:t>
      </w:r>
      <w:proofErr w:type="gramEnd"/>
    </w:p>
    <w:bookmarkEnd w:id="3"/>
    <w:p w14:paraId="03D358AA"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r w:rsidRPr="00B831E7">
        <w:rPr>
          <w:i/>
          <w:iCs/>
        </w:rPr>
        <w:t>Requests</w:t>
      </w:r>
      <w:r w:rsidRPr="00B831E7">
        <w:t xml:space="preserve"> the lead country, or, in the absence of a lead country, the Secretariat, subject to the availability of resources, to prepare the draft updated technical guidelines in consultation with the small intersessional working group for consideration by the Open-ended Working Group at its thirteenth </w:t>
      </w:r>
      <w:proofErr w:type="gramStart"/>
      <w:r w:rsidRPr="00B831E7">
        <w:t>meeting;</w:t>
      </w:r>
      <w:proofErr w:type="gramEnd"/>
    </w:p>
    <w:p w14:paraId="5DFD15F2"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bookmarkStart w:id="4" w:name="_Hlk106792480"/>
      <w:r w:rsidRPr="00B831E7">
        <w:rPr>
          <w:i/>
          <w:iCs/>
        </w:rPr>
        <w:t>Invites</w:t>
      </w:r>
      <w:r w:rsidRPr="00B831E7">
        <w:t xml:space="preserve"> Parties and others to provide comments to the Secretariat, by 31 October 2022, on whether technical guidelines on the environmentally sound management of rubber wastes (entry B3040) and waste parings and scrap of rubber (entry B3080) should be </w:t>
      </w:r>
      <w:proofErr w:type="gramStart"/>
      <w:r w:rsidRPr="00B831E7">
        <w:t>developed;</w:t>
      </w:r>
      <w:proofErr w:type="gramEnd"/>
    </w:p>
    <w:p w14:paraId="513FDADA"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bookmarkStart w:id="5" w:name="_Hlk106792494"/>
      <w:bookmarkEnd w:id="4"/>
      <w:r w:rsidRPr="00B831E7">
        <w:rPr>
          <w:i/>
          <w:iCs/>
        </w:rPr>
        <w:t>Requests</w:t>
      </w:r>
      <w:r w:rsidRPr="00B831E7">
        <w:t xml:space="preserve"> the Secretariat to make available the comments received in accordance with paragraph 8 of the present decision on the website of the Convention and to prepare a compilation of the comments for consideration by the Open-ended Working Group at its thirteenth </w:t>
      </w:r>
      <w:proofErr w:type="gramStart"/>
      <w:r w:rsidRPr="00B831E7">
        <w:t>meeting;</w:t>
      </w:r>
      <w:proofErr w:type="gramEnd"/>
    </w:p>
    <w:p w14:paraId="19BBB34A"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r w:rsidRPr="00B831E7">
        <w:rPr>
          <w:i/>
        </w:rPr>
        <w:t>Invites</w:t>
      </w:r>
      <w:r w:rsidRPr="00B831E7">
        <w:rPr>
          <w:iCs/>
        </w:rPr>
        <w:t xml:space="preserve"> Parties and others to provide comments to the Secretariat, by 31 October 2022, on possible further activities that could be conducted under the Basel Convention in response to developments in scientific knowledge and environmental information related to plastic waste as a source of land pollution, marine plastic litter and microplastics;</w:t>
      </w:r>
      <w:r w:rsidRPr="00B831E7">
        <w:rPr>
          <w:rStyle w:val="FootnoteReference"/>
          <w:iCs/>
        </w:rPr>
        <w:footnoteReference w:id="5"/>
      </w:r>
    </w:p>
    <w:p w14:paraId="50D9EC68" w14:textId="77777777" w:rsidR="00E044F2" w:rsidRPr="00B831E7" w:rsidRDefault="00E044F2" w:rsidP="00E044F2">
      <w:pPr>
        <w:pStyle w:val="Normal-pool"/>
        <w:numPr>
          <w:ilvl w:val="0"/>
          <w:numId w:val="13"/>
        </w:numPr>
        <w:tabs>
          <w:tab w:val="clear" w:pos="2381"/>
          <w:tab w:val="clear" w:pos="2948"/>
          <w:tab w:val="clear" w:pos="3515"/>
          <w:tab w:val="clear" w:pos="4082"/>
        </w:tabs>
        <w:spacing w:after="120"/>
        <w:ind w:left="1247" w:firstLine="624"/>
      </w:pPr>
      <w:bookmarkStart w:id="6" w:name="_Hlk106792732"/>
      <w:bookmarkEnd w:id="5"/>
      <w:r w:rsidRPr="00B831E7">
        <w:rPr>
          <w:i/>
          <w:iCs/>
        </w:rPr>
        <w:t>Requests</w:t>
      </w:r>
      <w:r w:rsidRPr="00B831E7">
        <w:t xml:space="preserve"> the Secretariat to make available on the website of the Convention the comments received in accordance with paragraph 10 of the present decision, and to suggest </w:t>
      </w:r>
      <w:r w:rsidRPr="00B831E7">
        <w:rPr>
          <w:iCs/>
        </w:rPr>
        <w:t>possible further activities that could be conducted under the Convention in response to developments in scientific knowledge and environmental information and health impacts related to plastic waste as a source of land pollution, marine plastic litter and microplastics, taking into consideration the comments received and the</w:t>
      </w:r>
      <w:r w:rsidRPr="00B831E7">
        <w:t xml:space="preserve"> work undertaken in follow-up to United Nations Environment Assembly resolution 5/14 entitled “End plastic pollution: towards an international legally binding instrument”, </w:t>
      </w:r>
      <w:r w:rsidRPr="00B831E7">
        <w:lastRenderedPageBreak/>
        <w:t xml:space="preserve">as appropriate, </w:t>
      </w:r>
      <w:r w:rsidRPr="00B831E7">
        <w:rPr>
          <w:iCs/>
        </w:rPr>
        <w:t>for consideration by the Open-ended Working Group at its thirteenth meeting and by the Conference of the Parties at its sixteenth meeting</w:t>
      </w:r>
      <w:bookmarkEnd w:id="6"/>
      <w:r w:rsidRPr="00B831E7">
        <w:t>.</w:t>
      </w:r>
    </w:p>
    <w:p w14:paraId="1D7F4CB3" w14:textId="0BF415EA" w:rsidR="00F935A6" w:rsidRPr="00E044F2" w:rsidRDefault="00F935A6" w:rsidP="00E044F2">
      <w:pPr>
        <w:spacing w:after="120"/>
        <w:rPr>
          <w:rFonts w:eastAsia="Times New Roman"/>
          <w:lang w:val="en-GB"/>
        </w:rPr>
      </w:pPr>
    </w:p>
    <w:sectPr w:rsidR="00F935A6" w:rsidRPr="00E044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FE514" w14:textId="77777777" w:rsidR="00AE554A" w:rsidRDefault="00AE554A" w:rsidP="004956AB">
      <w:r>
        <w:separator/>
      </w:r>
    </w:p>
  </w:endnote>
  <w:endnote w:type="continuationSeparator" w:id="0">
    <w:p w14:paraId="549489E2" w14:textId="77777777" w:rsidR="00AE554A" w:rsidRDefault="00AE554A"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71C163" w14:textId="77777777" w:rsidR="00AE554A" w:rsidRDefault="00AE554A" w:rsidP="004956AB">
      <w:r>
        <w:separator/>
      </w:r>
    </w:p>
  </w:footnote>
  <w:footnote w:type="continuationSeparator" w:id="0">
    <w:p w14:paraId="34FC8F4C" w14:textId="77777777" w:rsidR="00AE554A" w:rsidRDefault="00AE554A" w:rsidP="004956AB">
      <w:r>
        <w:continuationSeparator/>
      </w:r>
    </w:p>
  </w:footnote>
  <w:footnote w:id="1">
    <w:p w14:paraId="215A2CA4" w14:textId="77777777" w:rsidR="00E044F2" w:rsidRPr="000629DC" w:rsidRDefault="00E044F2" w:rsidP="00E044F2">
      <w:pPr>
        <w:pStyle w:val="Footnote-Text"/>
        <w:rPr>
          <w:szCs w:val="18"/>
        </w:rPr>
      </w:pPr>
      <w:r w:rsidRPr="000629DC">
        <w:rPr>
          <w:rStyle w:val="FootnoteReference"/>
        </w:rPr>
        <w:footnoteRef/>
      </w:r>
      <w:r w:rsidRPr="000629DC">
        <w:rPr>
          <w:szCs w:val="18"/>
        </w:rPr>
        <w:t xml:space="preserve"> UNEP/CHW.15/INF/10.</w:t>
      </w:r>
    </w:p>
  </w:footnote>
  <w:footnote w:id="2">
    <w:p w14:paraId="1B6F4B99" w14:textId="77777777" w:rsidR="00E044F2" w:rsidRPr="000629DC" w:rsidRDefault="00E044F2" w:rsidP="00E044F2">
      <w:pPr>
        <w:pStyle w:val="Footnote-Text"/>
        <w:rPr>
          <w:szCs w:val="18"/>
        </w:rPr>
      </w:pPr>
      <w:r w:rsidRPr="000629DC">
        <w:rPr>
          <w:rStyle w:val="FootnoteReference"/>
        </w:rPr>
        <w:footnoteRef/>
      </w:r>
      <w:r w:rsidRPr="000629DC">
        <w:rPr>
          <w:szCs w:val="18"/>
        </w:rPr>
        <w:t xml:space="preserve"> UNEP/CHW.15/INF/12. </w:t>
      </w:r>
    </w:p>
  </w:footnote>
  <w:footnote w:id="3">
    <w:p w14:paraId="17B3F304" w14:textId="77777777" w:rsidR="00E044F2" w:rsidRPr="000629DC" w:rsidRDefault="00E044F2" w:rsidP="00E044F2">
      <w:pPr>
        <w:pStyle w:val="Footnote-Text"/>
        <w:rPr>
          <w:szCs w:val="18"/>
        </w:rPr>
      </w:pPr>
      <w:r w:rsidRPr="000629DC">
        <w:rPr>
          <w:rStyle w:val="FootnoteReference"/>
        </w:rPr>
        <w:footnoteRef/>
      </w:r>
      <w:r w:rsidRPr="000629DC">
        <w:rPr>
          <w:szCs w:val="18"/>
        </w:rPr>
        <w:t xml:space="preserve"> UNEP/CHW.15/INF/11.</w:t>
      </w:r>
    </w:p>
  </w:footnote>
  <w:footnote w:id="4">
    <w:p w14:paraId="6D7EB066" w14:textId="77777777" w:rsidR="00E044F2" w:rsidRPr="000629DC" w:rsidRDefault="00E044F2" w:rsidP="00E044F2">
      <w:pPr>
        <w:pStyle w:val="Footnote-Text"/>
        <w:rPr>
          <w:szCs w:val="18"/>
        </w:rPr>
      </w:pPr>
      <w:r w:rsidRPr="000629DC">
        <w:rPr>
          <w:szCs w:val="18"/>
          <w:vertAlign w:val="superscript"/>
        </w:rPr>
        <w:footnoteRef/>
      </w:r>
      <w:r w:rsidRPr="000629DC">
        <w:rPr>
          <w:szCs w:val="18"/>
        </w:rPr>
        <w:t xml:space="preserve"> </w:t>
      </w:r>
      <w:bookmarkStart w:id="1" w:name="_Hlk106792216"/>
      <w:r w:rsidRPr="000629DC">
        <w:rPr>
          <w:szCs w:val="18"/>
        </w:rPr>
        <w:t>UNEP/CHW.10/6/Add.1/Rev.1, annex.</w:t>
      </w:r>
      <w:bookmarkEnd w:id="1"/>
    </w:p>
  </w:footnote>
  <w:footnote w:id="5">
    <w:p w14:paraId="304231FE" w14:textId="77777777" w:rsidR="00E044F2" w:rsidRPr="000629DC" w:rsidRDefault="00E044F2" w:rsidP="00E044F2">
      <w:pPr>
        <w:pStyle w:val="Footnote-Text"/>
        <w:rPr>
          <w:szCs w:val="18"/>
        </w:rPr>
      </w:pPr>
      <w:r w:rsidRPr="000629DC">
        <w:rPr>
          <w:rStyle w:val="FootnoteReference"/>
        </w:rPr>
        <w:footnoteRef/>
      </w:r>
      <w:r w:rsidRPr="000629DC">
        <w:rPr>
          <w:szCs w:val="18"/>
        </w:rPr>
        <w:t xml:space="preserve"> UNEP/CHW.15/INF/10.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9"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5"/>
  </w:num>
  <w:num w:numId="2" w16cid:durableId="1473252469">
    <w:abstractNumId w:val="1"/>
  </w:num>
  <w:num w:numId="3" w16cid:durableId="1856917451">
    <w:abstractNumId w:val="11"/>
  </w:num>
  <w:num w:numId="4" w16cid:durableId="1559896294">
    <w:abstractNumId w:val="9"/>
  </w:num>
  <w:num w:numId="5" w16cid:durableId="1636064875">
    <w:abstractNumId w:val="2"/>
  </w:num>
  <w:num w:numId="6" w16cid:durableId="1075932777">
    <w:abstractNumId w:val="10"/>
  </w:num>
  <w:num w:numId="7" w16cid:durableId="1541168782">
    <w:abstractNumId w:val="6"/>
  </w:num>
  <w:num w:numId="8" w16cid:durableId="761536350">
    <w:abstractNumId w:val="4"/>
  </w:num>
  <w:num w:numId="9" w16cid:durableId="252052453">
    <w:abstractNumId w:val="8"/>
  </w:num>
  <w:num w:numId="10" w16cid:durableId="1032876827">
    <w:abstractNumId w:val="7"/>
  </w:num>
  <w:num w:numId="11" w16cid:durableId="657073234">
    <w:abstractNumId w:val="3"/>
  </w:num>
  <w:num w:numId="12" w16cid:durableId="234046659">
    <w:abstractNumId w:val="12"/>
  </w:num>
  <w:num w:numId="13" w16cid:durableId="1095369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3A5F"/>
    <w:rsid w:val="002E5D8A"/>
    <w:rsid w:val="004956AB"/>
    <w:rsid w:val="00542DFC"/>
    <w:rsid w:val="00836B73"/>
    <w:rsid w:val="00884140"/>
    <w:rsid w:val="00AE554A"/>
    <w:rsid w:val="00C24420"/>
    <w:rsid w:val="00C84536"/>
    <w:rsid w:val="00DF06CA"/>
    <w:rsid w:val="00E044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3076</Characters>
  <Application>Microsoft Office Word</Application>
  <DocSecurity>0</DocSecurity>
  <Lines>25</Lines>
  <Paragraphs>7</Paragraphs>
  <ScaleCrop>false</ScaleCrop>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2023-04-24T13:03:00Z</dcterms:created>
  <dcterms:modified xsi:type="dcterms:W3CDTF">2023-04-24T13:03:00Z</dcterms:modified>
</cp:coreProperties>
</file>