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19B82" w14:textId="77777777" w:rsidR="004F3F87" w:rsidRPr="00993161" w:rsidRDefault="004F3F87" w:rsidP="004F3F87">
      <w:pPr>
        <w:pStyle w:val="CH1"/>
        <w:spacing w:before="0"/>
        <w:rPr>
          <w:lang w:val="fr-FR"/>
        </w:rPr>
      </w:pPr>
      <w:r w:rsidRPr="00993161">
        <w:rPr>
          <w:lang w:val="fr-FR"/>
        </w:rPr>
        <w:tab/>
      </w:r>
      <w:r w:rsidRPr="00993161">
        <w:rPr>
          <w:lang w:val="fr-FR"/>
        </w:rPr>
        <w:tab/>
        <w:t>BC-15/16 : Déchets contenant des nanomatériaux</w:t>
      </w:r>
    </w:p>
    <w:p w14:paraId="7F67C63B" w14:textId="77777777" w:rsidR="004F3F87" w:rsidRPr="00993161" w:rsidRDefault="004F3F87" w:rsidP="004F3F87">
      <w:pPr>
        <w:pStyle w:val="NormalNonumber"/>
        <w:rPr>
          <w:i/>
          <w:lang w:val="fr-FR"/>
        </w:rPr>
      </w:pPr>
      <w:r w:rsidRPr="00993161">
        <w:rPr>
          <w:i/>
          <w:lang w:val="fr-FR"/>
        </w:rPr>
        <w:tab/>
        <w:t xml:space="preserve">La Conférence des Parties, </w:t>
      </w:r>
    </w:p>
    <w:p w14:paraId="4B2CB6F3" w14:textId="77777777" w:rsidR="004F3F87" w:rsidRPr="00993161" w:rsidRDefault="004F3F87" w:rsidP="004F3F87">
      <w:pPr>
        <w:pStyle w:val="NormalNonumber"/>
        <w:rPr>
          <w:lang w:val="fr-FR"/>
        </w:rPr>
      </w:pPr>
      <w:bookmarkStart w:id="0" w:name="_Hlk106793015"/>
      <w:r w:rsidRPr="00993161">
        <w:rPr>
          <w:iCs/>
          <w:lang w:val="fr-FR"/>
        </w:rPr>
        <w:tab/>
        <w:t>1.</w:t>
      </w:r>
      <w:r w:rsidRPr="00993161">
        <w:rPr>
          <w:iCs/>
          <w:lang w:val="fr-FR"/>
        </w:rPr>
        <w:tab/>
      </w:r>
      <w:r w:rsidRPr="00993161">
        <w:rPr>
          <w:i/>
          <w:lang w:val="fr-FR"/>
        </w:rPr>
        <w:t>Prend note</w:t>
      </w:r>
      <w:r w:rsidRPr="00993161">
        <w:rPr>
          <w:lang w:val="fr-FR"/>
        </w:rPr>
        <w:t xml:space="preserve"> des informations communiquées par les Parties et par un observateur sur les activités visant à résoudre les problèmes liés aux déchets contenant des nanomatériaux</w:t>
      </w:r>
      <w:r w:rsidRPr="00993161">
        <w:rPr>
          <w:szCs w:val="18"/>
          <w:vertAlign w:val="superscript"/>
          <w:lang w:val="fr-FR"/>
        </w:rPr>
        <w:footnoteReference w:id="1"/>
      </w:r>
      <w:r w:rsidRPr="00993161">
        <w:rPr>
          <w:lang w:val="fr-FR"/>
        </w:rPr>
        <w:t> ;</w:t>
      </w:r>
    </w:p>
    <w:p w14:paraId="0D736950" w14:textId="77777777" w:rsidR="004F3F87" w:rsidRPr="00993161" w:rsidRDefault="004F3F87" w:rsidP="004F3F87">
      <w:pPr>
        <w:pStyle w:val="NormalNonumber"/>
        <w:rPr>
          <w:lang w:val="fr-FR"/>
        </w:rPr>
      </w:pPr>
      <w:r w:rsidRPr="00993161">
        <w:rPr>
          <w:iCs/>
          <w:lang w:val="fr-FR"/>
        </w:rPr>
        <w:tab/>
        <w:t>2.</w:t>
      </w:r>
      <w:r w:rsidRPr="00993161">
        <w:rPr>
          <w:iCs/>
          <w:lang w:val="fr-FR"/>
        </w:rPr>
        <w:tab/>
      </w:r>
      <w:r w:rsidRPr="00993161">
        <w:rPr>
          <w:i/>
          <w:lang w:val="fr-FR"/>
        </w:rPr>
        <w:t>Invite</w:t>
      </w:r>
      <w:r w:rsidRPr="00993161">
        <w:rPr>
          <w:lang w:val="fr-FR"/>
        </w:rPr>
        <w:t xml:space="preserve"> les Parties et les observateurs à communiquer au Secrétariat, d’ici au 31 décembre 2022, toute nouvelle information sur les activités visant à s’attaquer aux problèmes posés par les déchets contenant des nanomatériaux, y compris des études de cas sur la gestion de ces déchets et les meilleures pratiques dans ce domaine ; </w:t>
      </w:r>
    </w:p>
    <w:p w14:paraId="1F9BDE28" w14:textId="77777777" w:rsidR="004F3F87" w:rsidRPr="00993161" w:rsidRDefault="004F3F87" w:rsidP="004F3F87">
      <w:pPr>
        <w:pStyle w:val="NormalNonumber"/>
        <w:rPr>
          <w:color w:val="000000"/>
          <w:lang w:val="fr-FR"/>
        </w:rPr>
      </w:pPr>
      <w:r w:rsidRPr="00993161">
        <w:rPr>
          <w:iCs/>
          <w:lang w:val="fr-FR"/>
        </w:rPr>
        <w:tab/>
        <w:t>3.</w:t>
      </w:r>
      <w:r w:rsidRPr="00993161">
        <w:rPr>
          <w:iCs/>
          <w:lang w:val="fr-FR"/>
        </w:rPr>
        <w:tab/>
      </w:r>
      <w:r w:rsidRPr="00993161">
        <w:rPr>
          <w:i/>
          <w:lang w:val="fr-FR"/>
        </w:rPr>
        <w:t>Prie</w:t>
      </w:r>
      <w:r w:rsidRPr="00993161">
        <w:rPr>
          <w:lang w:val="fr-FR"/>
        </w:rPr>
        <w:t xml:space="preserve"> le Secrétariat </w:t>
      </w:r>
      <w:r w:rsidRPr="00993161">
        <w:rPr>
          <w:color w:val="000000"/>
          <w:lang w:val="fr-FR"/>
        </w:rPr>
        <w:t xml:space="preserve">: </w:t>
      </w:r>
    </w:p>
    <w:p w14:paraId="39A671EF" w14:textId="77777777" w:rsidR="004F3F87" w:rsidRPr="00993161" w:rsidRDefault="004F3F87" w:rsidP="004F3F87">
      <w:pPr>
        <w:pStyle w:val="NormalNonumber"/>
        <w:rPr>
          <w:lang w:val="fr-FR"/>
        </w:rPr>
      </w:pPr>
      <w:r w:rsidRPr="00993161">
        <w:rPr>
          <w:lang w:val="fr-FR"/>
        </w:rPr>
        <w:tab/>
        <w:t>a)</w:t>
      </w:r>
      <w:r w:rsidRPr="00993161">
        <w:rPr>
          <w:lang w:val="fr-FR"/>
        </w:rPr>
        <w:tab/>
        <w:t>De compiler les informations visées au paragraphe 2 de la présente décision, de sorte que le Groupe de travail à composition non limitée les examine à sa treizième réunion ;</w:t>
      </w:r>
    </w:p>
    <w:bookmarkEnd w:id="0"/>
    <w:p w14:paraId="416DA9A7" w14:textId="77777777" w:rsidR="004F3F87" w:rsidRPr="00993161" w:rsidRDefault="004F3F87" w:rsidP="004F3F87">
      <w:pPr>
        <w:pStyle w:val="NormalNonumber"/>
        <w:rPr>
          <w:lang w:val="fr-FR"/>
        </w:rPr>
      </w:pPr>
      <w:r w:rsidRPr="00993161">
        <w:rPr>
          <w:lang w:val="fr-FR"/>
        </w:rPr>
        <w:tab/>
        <w:t>b)</w:t>
      </w:r>
      <w:r w:rsidRPr="00993161">
        <w:rPr>
          <w:lang w:val="fr-FR"/>
        </w:rPr>
        <w:tab/>
        <w:t>D’organiser des activités, sous réserve de la disponibilité de ressources, afin d’informer les Parties des activités visant à résoudre les problèmes posés par les déchets contenant des nanomatériaux, y compris les études de cas sur la gestion de ces déchets et les meilleures pratiques dans ce domaine recueillies en application du paragraphe 2 de la présente décision ;</w:t>
      </w:r>
    </w:p>
    <w:p w14:paraId="27123E9E" w14:textId="77777777" w:rsidR="004F3F87" w:rsidRPr="00993161" w:rsidRDefault="004F3F87" w:rsidP="004F3F87">
      <w:pPr>
        <w:pStyle w:val="NormalNonumber"/>
        <w:rPr>
          <w:lang w:val="fr-FR"/>
        </w:rPr>
      </w:pPr>
      <w:r w:rsidRPr="00993161">
        <w:rPr>
          <w:lang w:val="fr-FR"/>
        </w:rPr>
        <w:tab/>
        <w:t>c)</w:t>
      </w:r>
      <w:r w:rsidRPr="00993161">
        <w:rPr>
          <w:lang w:val="fr-FR"/>
        </w:rPr>
        <w:tab/>
        <w:t xml:space="preserve">De lui faire rapport sur l’application de la présente décision à sa seizième réunion et au Groupe de travail à composition non limitée à sa treizième réunion. </w:t>
      </w:r>
    </w:p>
    <w:p w14:paraId="2998ADCE" w14:textId="1EEDEDBF" w:rsidR="00F935A6" w:rsidRPr="004F3F87" w:rsidRDefault="00F935A6" w:rsidP="004F3F87">
      <w:pPr>
        <w:tabs>
          <w:tab w:val="clear" w:pos="1247"/>
          <w:tab w:val="clear" w:pos="1814"/>
          <w:tab w:val="clear" w:pos="2381"/>
          <w:tab w:val="clear" w:pos="2948"/>
          <w:tab w:val="clear" w:pos="3515"/>
        </w:tabs>
        <w:rPr>
          <w:lang w:val="fr-FR"/>
        </w:rPr>
      </w:pPr>
    </w:p>
    <w:sectPr w:rsidR="00F935A6" w:rsidRPr="004F3F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C4878" w14:textId="77777777" w:rsidR="001631B0" w:rsidRDefault="001631B0" w:rsidP="00CC3DE2">
      <w:r>
        <w:separator/>
      </w:r>
    </w:p>
  </w:endnote>
  <w:endnote w:type="continuationSeparator" w:id="0">
    <w:p w14:paraId="33F92B2B" w14:textId="77777777" w:rsidR="001631B0" w:rsidRDefault="001631B0" w:rsidP="00CC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C157F" w14:textId="77777777" w:rsidR="001631B0" w:rsidRDefault="001631B0" w:rsidP="00CC3DE2">
      <w:r>
        <w:separator/>
      </w:r>
    </w:p>
  </w:footnote>
  <w:footnote w:type="continuationSeparator" w:id="0">
    <w:p w14:paraId="346A2B8C" w14:textId="77777777" w:rsidR="001631B0" w:rsidRDefault="001631B0" w:rsidP="00CC3DE2">
      <w:r>
        <w:continuationSeparator/>
      </w:r>
    </w:p>
  </w:footnote>
  <w:footnote w:id="1">
    <w:p w14:paraId="452E0C01" w14:textId="77777777" w:rsidR="004F3F87" w:rsidRPr="007379A1" w:rsidRDefault="004F3F87" w:rsidP="004F3F87">
      <w:pPr>
        <w:pStyle w:val="Normal-pool"/>
        <w:spacing w:before="20" w:after="40"/>
        <w:ind w:left="1247"/>
        <w:rPr>
          <w:sz w:val="18"/>
          <w:szCs w:val="18"/>
        </w:rPr>
      </w:pPr>
      <w:r>
        <w:rPr>
          <w:sz w:val="18"/>
          <w:szCs w:val="18"/>
          <w:vertAlign w:val="superscript"/>
        </w:rPr>
        <w:footnoteRef/>
      </w:r>
      <w:r w:rsidRPr="007379A1">
        <w:t xml:space="preserve"> </w:t>
      </w:r>
      <w:r w:rsidRPr="007379A1">
        <w:rPr>
          <w:sz w:val="18"/>
        </w:rPr>
        <w:t>UNEP/CHW.15/INF/52</w:t>
      </w:r>
      <w:r w:rsidRPr="007379A1">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E4F"/>
    <w:rsid w:val="001631B0"/>
    <w:rsid w:val="00195FD9"/>
    <w:rsid w:val="001E2939"/>
    <w:rsid w:val="002072CB"/>
    <w:rsid w:val="00353D6F"/>
    <w:rsid w:val="004F3F87"/>
    <w:rsid w:val="00606974"/>
    <w:rsid w:val="006141E5"/>
    <w:rsid w:val="006C0DA4"/>
    <w:rsid w:val="007479A4"/>
    <w:rsid w:val="007F2C13"/>
    <w:rsid w:val="00836B73"/>
    <w:rsid w:val="008D39A7"/>
    <w:rsid w:val="00975E4F"/>
    <w:rsid w:val="00C27527"/>
    <w:rsid w:val="00C84536"/>
    <w:rsid w:val="00CC3DE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20901"/>
  <w15:chartTrackingRefBased/>
  <w15:docId w15:val="{7A450A8B-D369-4EC3-B236-596D87D04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E4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qFormat/>
    <w:rsid w:val="00975E4F"/>
    <w:pPr>
      <w:keepNext/>
      <w:keepLines/>
      <w:tabs>
        <w:tab w:val="clear" w:pos="1814"/>
        <w:tab w:val="clear" w:pos="2381"/>
        <w:tab w:val="clear" w:pos="2948"/>
        <w:tab w:val="clear" w:pos="3515"/>
        <w:tab w:val="right" w:pos="851"/>
        <w:tab w:val="left" w:pos="1871"/>
        <w:tab w:val="left" w:pos="2495"/>
        <w:tab w:val="left" w:pos="3119"/>
        <w:tab w:val="left" w:pos="3742"/>
        <w:tab w:val="left" w:pos="4366"/>
      </w:tabs>
      <w:suppressAutoHyphens/>
      <w:spacing w:before="240" w:after="120"/>
      <w:ind w:left="1247" w:right="284" w:hanging="1247"/>
    </w:pPr>
    <w:rPr>
      <w:b/>
      <w:sz w:val="28"/>
      <w:szCs w:val="28"/>
      <w:lang w:val="en-US"/>
    </w:rPr>
  </w:style>
  <w:style w:type="paragraph" w:customStyle="1" w:styleId="NormalNonumber">
    <w:name w:val="Normal_No_number"/>
    <w:basedOn w:val="Normal"/>
    <w:qFormat/>
    <w:rsid w:val="00975E4F"/>
    <w:pPr>
      <w:tabs>
        <w:tab w:val="clear" w:pos="1814"/>
        <w:tab w:val="clear" w:pos="2381"/>
        <w:tab w:val="clear" w:pos="2948"/>
        <w:tab w:val="clear" w:pos="3515"/>
        <w:tab w:val="left" w:pos="624"/>
        <w:tab w:val="left" w:pos="1871"/>
        <w:tab w:val="left" w:pos="2495"/>
        <w:tab w:val="left" w:pos="3119"/>
        <w:tab w:val="left" w:pos="3742"/>
        <w:tab w:val="left" w:pos="4366"/>
      </w:tabs>
      <w:spacing w:after="120"/>
      <w:ind w:left="1247"/>
    </w:pPr>
    <w:rPr>
      <w:lang w:val="en-US"/>
    </w:rPr>
  </w:style>
  <w:style w:type="paragraph" w:customStyle="1" w:styleId="Normal-pool">
    <w:name w:val="Normal-pool"/>
    <w:link w:val="Normal-poolChar"/>
    <w:qFormat/>
    <w:rsid w:val="00CC3DE2"/>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poolChar">
    <w:name w:val="Normal-pool Char"/>
    <w:link w:val="Normal-pool"/>
    <w:locked/>
    <w:rsid w:val="00CC3DE2"/>
    <w:rPr>
      <w:rFonts w:ascii="Times New Roman" w:eastAsia="Times New Roman" w:hAnsi="Times New Roman" w:cs="Times New Roman"/>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6141E5"/>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6141E5"/>
    <w:pPr>
      <w:spacing w:before="120" w:after="160" w:line="240" w:lineRule="exact"/>
    </w:pPr>
    <w:rPr>
      <w:rFonts w:asciiTheme="minorHAnsi" w:eastAsiaTheme="minorEastAsia" w:hAnsiTheme="minorHAnsi" w:cstheme="minorBidi"/>
      <w:sz w:val="22"/>
      <w:szCs w:val="18"/>
      <w:vertAlign w:val="superscript"/>
      <w:lang w:val="en-US" w:eastAsia="zh-CN"/>
    </w:rPr>
  </w:style>
  <w:style w:type="character" w:styleId="Hyperlink">
    <w:name w:val="Hyperlink"/>
    <w:unhideWhenUsed/>
    <w:rsid w:val="007479A4"/>
    <w:rPr>
      <w:rFonts w:ascii="Times New Roman" w:hAnsi="Times New Roman"/>
      <w:color w:val="0000FF"/>
      <w:sz w:val="20"/>
      <w:szCs w:val="20"/>
      <w:u w:val="no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Words>
  <Characters>1140</Characters>
  <Application>Microsoft Office Word</Application>
  <DocSecurity>0</DocSecurity>
  <Lines>9</Lines>
  <Paragraphs>2</Paragraphs>
  <ScaleCrop>false</ScaleCrop>
  <Company/>
  <LinksUpToDate>false</LinksUpToDate>
  <CharactersWithSpaces>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2023-05-22T10:15:00Z</dcterms:created>
  <dcterms:modified xsi:type="dcterms:W3CDTF">2023-05-22T10:15:00Z</dcterms:modified>
</cp:coreProperties>
</file>