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81D02" w14:textId="77777777" w:rsidR="00A077D7" w:rsidRPr="00447994" w:rsidRDefault="00A077D7" w:rsidP="00A077D7">
      <w:pPr>
        <w:pStyle w:val="CH1"/>
        <w:rPr>
          <w:lang w:val="es-ES_tradnl"/>
        </w:rPr>
      </w:pPr>
      <w:r w:rsidRPr="00447994">
        <w:rPr>
          <w:lang w:val="es-ES_tradnl"/>
        </w:rPr>
        <w:tab/>
      </w:r>
      <w:r w:rsidRPr="00447994">
        <w:rPr>
          <w:lang w:val="es-ES_tradnl"/>
        </w:rPr>
        <w:tab/>
      </w:r>
      <w:r w:rsidRPr="00447994">
        <w:rPr>
          <w:bCs/>
          <w:lang w:val="es-ES_tradnl"/>
        </w:rPr>
        <w:t>BC</w:t>
      </w:r>
      <w:r w:rsidRPr="00447994">
        <w:rPr>
          <w:bCs/>
          <w:lang w:val="es-ES_tradnl"/>
        </w:rPr>
        <w:noBreakHyphen/>
        <w:t>15/16: Desechos que contienen nanomateriales</w:t>
      </w:r>
    </w:p>
    <w:p w14:paraId="62FDC9B7" w14:textId="77777777" w:rsidR="00A077D7" w:rsidRPr="00447994" w:rsidRDefault="00A077D7" w:rsidP="00A077D7">
      <w:pPr>
        <w:pStyle w:val="Normal-pool"/>
        <w:spacing w:after="120"/>
        <w:ind w:left="1247" w:firstLine="624"/>
        <w:rPr>
          <w:i/>
          <w:iCs/>
          <w:lang w:val="es-ES_tradnl"/>
        </w:rPr>
      </w:pPr>
      <w:r w:rsidRPr="00447994">
        <w:rPr>
          <w:i/>
          <w:iCs/>
          <w:lang w:val="es-ES_tradnl"/>
        </w:rPr>
        <w:t>La Conferencia de las Partes</w:t>
      </w:r>
    </w:p>
    <w:p w14:paraId="3D305237" w14:textId="77777777" w:rsidR="00A077D7" w:rsidRPr="00447994" w:rsidRDefault="00A077D7" w:rsidP="00A077D7">
      <w:pPr>
        <w:pStyle w:val="Normal-pool"/>
        <w:numPr>
          <w:ilvl w:val="0"/>
          <w:numId w:val="24"/>
        </w:numPr>
        <w:tabs>
          <w:tab w:val="clear" w:pos="1247"/>
          <w:tab w:val="clear" w:pos="1814"/>
        </w:tabs>
        <w:spacing w:after="120"/>
        <w:ind w:left="1247" w:firstLine="624"/>
        <w:rPr>
          <w:rFonts w:eastAsia="Times New Roman"/>
          <w:lang w:val="es-ES_tradnl"/>
        </w:rPr>
      </w:pPr>
      <w:bookmarkStart w:id="0" w:name="_Hlk106793015"/>
      <w:r w:rsidRPr="00447994">
        <w:rPr>
          <w:i/>
          <w:iCs/>
          <w:lang w:val="es-ES_tradnl"/>
        </w:rPr>
        <w:t>Toma nota</w:t>
      </w:r>
      <w:r w:rsidRPr="00447994">
        <w:rPr>
          <w:lang w:val="es-ES_tradnl"/>
        </w:rPr>
        <w:t xml:space="preserve"> de la información facilitada por las Partes y un observador sobre las actividades encaminadas a solucionar los problemas relacionados con los desechos que contienen nanomateriales</w:t>
      </w:r>
      <w:r w:rsidRPr="00447994">
        <w:rPr>
          <w:rFonts w:eastAsia="Times New Roman"/>
          <w:szCs w:val="18"/>
          <w:vertAlign w:val="superscript"/>
          <w:lang w:val="es-ES_tradnl"/>
        </w:rPr>
        <w:footnoteReference w:id="1"/>
      </w:r>
      <w:r w:rsidRPr="00447994">
        <w:rPr>
          <w:lang w:val="es-ES_tradnl"/>
        </w:rPr>
        <w:t>;</w:t>
      </w:r>
    </w:p>
    <w:p w14:paraId="01CECE91" w14:textId="77777777" w:rsidR="00A077D7" w:rsidRPr="00447994" w:rsidRDefault="00A077D7" w:rsidP="00A077D7">
      <w:pPr>
        <w:pStyle w:val="Normal-pool"/>
        <w:numPr>
          <w:ilvl w:val="0"/>
          <w:numId w:val="24"/>
        </w:numPr>
        <w:tabs>
          <w:tab w:val="clear" w:pos="1247"/>
          <w:tab w:val="clear" w:pos="1814"/>
        </w:tabs>
        <w:spacing w:after="120"/>
        <w:ind w:left="1247" w:firstLine="624"/>
        <w:rPr>
          <w:rFonts w:eastAsia="Times New Roman"/>
          <w:lang w:val="es-ES_tradnl"/>
        </w:rPr>
      </w:pPr>
      <w:r w:rsidRPr="00447994">
        <w:rPr>
          <w:i/>
          <w:iCs/>
          <w:lang w:val="es-ES_tradnl"/>
        </w:rPr>
        <w:t>Invita</w:t>
      </w:r>
      <w:r w:rsidRPr="00447994">
        <w:rPr>
          <w:lang w:val="es-ES_tradnl"/>
        </w:rPr>
        <w:t xml:space="preserve"> a las Partes y los observadores a poner a disposición de la Secretaría, antes del 31 de diciembre de 2022, toda información nueva sobre las actividades encaminadas a solucionar los problemas relacionados con los desechos que contienen nanomateriales, incluidos estudios de casos sobre estos desechos y mejores prácticas para gestionarlos; </w:t>
      </w:r>
    </w:p>
    <w:p w14:paraId="75D74832" w14:textId="77777777" w:rsidR="00A077D7" w:rsidRPr="00447994" w:rsidRDefault="00A077D7" w:rsidP="00A077D7">
      <w:pPr>
        <w:pStyle w:val="Normal-pool"/>
        <w:numPr>
          <w:ilvl w:val="0"/>
          <w:numId w:val="24"/>
        </w:numPr>
        <w:tabs>
          <w:tab w:val="clear" w:pos="1247"/>
          <w:tab w:val="clear" w:pos="1814"/>
        </w:tabs>
        <w:spacing w:after="120"/>
        <w:ind w:left="1247" w:firstLine="624"/>
        <w:rPr>
          <w:rFonts w:eastAsia="Times New Roman"/>
          <w:color w:val="000000"/>
          <w:lang w:val="es-ES_tradnl"/>
        </w:rPr>
      </w:pPr>
      <w:r w:rsidRPr="00447994">
        <w:rPr>
          <w:i/>
          <w:iCs/>
          <w:lang w:val="es-ES_tradnl"/>
        </w:rPr>
        <w:t>Solicita</w:t>
      </w:r>
      <w:r w:rsidRPr="00447994">
        <w:rPr>
          <w:lang w:val="es-ES_tradnl"/>
        </w:rPr>
        <w:t xml:space="preserve"> a la Secretaría que: </w:t>
      </w:r>
    </w:p>
    <w:p w14:paraId="5EF996DB" w14:textId="77777777" w:rsidR="00A077D7" w:rsidRPr="00447994" w:rsidRDefault="00A077D7" w:rsidP="00A077D7">
      <w:pPr>
        <w:pStyle w:val="Normal-pool"/>
        <w:numPr>
          <w:ilvl w:val="0"/>
          <w:numId w:val="25"/>
        </w:numPr>
        <w:tabs>
          <w:tab w:val="clear" w:pos="1247"/>
          <w:tab w:val="clear" w:pos="1814"/>
        </w:tabs>
        <w:spacing w:after="120"/>
        <w:ind w:left="1247" w:firstLine="624"/>
        <w:rPr>
          <w:rFonts w:eastAsia="Times New Roman"/>
          <w:lang w:val="es-ES_tradnl"/>
        </w:rPr>
      </w:pPr>
      <w:r w:rsidRPr="00447994">
        <w:rPr>
          <w:lang w:val="es-ES_tradnl"/>
        </w:rPr>
        <w:t>Recopile la información a que se hace referencia en el párrafo 2 de la presente decisión para que la examine el Grupo de Trabajo de composición abierta en su 13ª reunión;</w:t>
      </w:r>
    </w:p>
    <w:bookmarkEnd w:id="0"/>
    <w:p w14:paraId="281D47AC" w14:textId="77777777" w:rsidR="00A077D7" w:rsidRPr="00447994" w:rsidRDefault="00A077D7" w:rsidP="00A077D7">
      <w:pPr>
        <w:pStyle w:val="Normal-pool"/>
        <w:numPr>
          <w:ilvl w:val="0"/>
          <w:numId w:val="25"/>
        </w:numPr>
        <w:tabs>
          <w:tab w:val="clear" w:pos="1247"/>
          <w:tab w:val="clear" w:pos="1814"/>
        </w:tabs>
        <w:spacing w:after="120"/>
        <w:ind w:left="1247" w:firstLine="624"/>
        <w:rPr>
          <w:rFonts w:eastAsia="Times New Roman"/>
          <w:lang w:val="es-ES_tradnl"/>
        </w:rPr>
      </w:pPr>
      <w:r w:rsidRPr="00447994">
        <w:rPr>
          <w:lang w:val="es-ES_tradnl"/>
        </w:rPr>
        <w:t>Organice actividades, dentro de los recursos disponibles, para dar a conocer a las Partes las actividades encaminadas a solucionar los problemas relacionados con los desechos que contienen nanomateriales, incluidos los estudios de casos sobre estos desechos y las mejores prácticas para gestionarlos que se reúnan de conformidad con el párrafo 2 de la presente decisión;</w:t>
      </w:r>
    </w:p>
    <w:p w14:paraId="06534B7C" w14:textId="77777777" w:rsidR="00A077D7" w:rsidRPr="00447994" w:rsidRDefault="00A077D7" w:rsidP="00A077D7">
      <w:pPr>
        <w:pStyle w:val="Normal-pool"/>
        <w:numPr>
          <w:ilvl w:val="0"/>
          <w:numId w:val="25"/>
        </w:numPr>
        <w:tabs>
          <w:tab w:val="clear" w:pos="1247"/>
          <w:tab w:val="clear" w:pos="1814"/>
        </w:tabs>
        <w:spacing w:after="120"/>
        <w:ind w:left="1247" w:firstLine="624"/>
        <w:rPr>
          <w:rFonts w:eastAsia="Times New Roman"/>
          <w:lang w:val="es-ES_tradnl"/>
        </w:rPr>
      </w:pPr>
      <w:r w:rsidRPr="00447994">
        <w:rPr>
          <w:lang w:val="es-ES_tradnl"/>
        </w:rPr>
        <w:t xml:space="preserve">Rinda informe sobre la aplicación de la presente decisión al Grupo de Trabajo de composición abierta en su 13ª reunión y a la Conferencia de las Partes en su 16ª reunión. </w:t>
      </w:r>
    </w:p>
    <w:p w14:paraId="5E5F9B2A" w14:textId="3E24FA38" w:rsidR="00F935A6" w:rsidRPr="00AD56CA" w:rsidRDefault="00F935A6" w:rsidP="00F86494">
      <w:pPr>
        <w:pStyle w:val="Normal-pool"/>
        <w:rPr>
          <w:lang w:val="es-ES_tradnl"/>
        </w:rPr>
      </w:pPr>
    </w:p>
    <w:sectPr w:rsidR="00F935A6" w:rsidRPr="00AD56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7ECD6" w14:textId="77777777" w:rsidR="001B6457" w:rsidRDefault="001B6457" w:rsidP="00162093">
      <w:r>
        <w:separator/>
      </w:r>
    </w:p>
  </w:endnote>
  <w:endnote w:type="continuationSeparator" w:id="0">
    <w:p w14:paraId="6A839BEC" w14:textId="77777777" w:rsidR="001B6457" w:rsidRDefault="001B6457" w:rsidP="0016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57BE6" w14:textId="77777777" w:rsidR="001B6457" w:rsidRDefault="001B6457" w:rsidP="00162093">
      <w:r>
        <w:separator/>
      </w:r>
    </w:p>
  </w:footnote>
  <w:footnote w:type="continuationSeparator" w:id="0">
    <w:p w14:paraId="5E404424" w14:textId="77777777" w:rsidR="001B6457" w:rsidRDefault="001B6457" w:rsidP="00162093">
      <w:r>
        <w:continuationSeparator/>
      </w:r>
    </w:p>
  </w:footnote>
  <w:footnote w:id="1">
    <w:p w14:paraId="02974C84" w14:textId="77777777" w:rsidR="00A077D7" w:rsidRPr="00122920" w:rsidRDefault="00A077D7" w:rsidP="00A077D7">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UNEP/CHW.15/INF/52.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92320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0471A"/>
    <w:multiLevelType w:val="hybridMultilevel"/>
    <w:tmpl w:val="36FCE92C"/>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B758D2"/>
    <w:multiLevelType w:val="hybridMultilevel"/>
    <w:tmpl w:val="E84EB2C6"/>
    <w:lvl w:ilvl="0" w:tplc="F57297D4">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6D191A"/>
    <w:multiLevelType w:val="hybridMultilevel"/>
    <w:tmpl w:val="A686E3CA"/>
    <w:lvl w:ilvl="0" w:tplc="040A0017">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C62AE9"/>
    <w:multiLevelType w:val="hybridMultilevel"/>
    <w:tmpl w:val="1CEE5758"/>
    <w:lvl w:ilvl="0" w:tplc="F8B4A356">
      <w:start w:val="1"/>
      <w:numFmt w:val="decimal"/>
      <w:lvlText w:val="%1."/>
      <w:lvlJc w:val="left"/>
      <w:pPr>
        <w:ind w:left="3215" w:hanging="360"/>
      </w:pPr>
      <w:rPr>
        <w:i w:val="0"/>
        <w:iCs w:val="0"/>
      </w:rPr>
    </w:lvl>
    <w:lvl w:ilvl="1" w:tplc="040A0017">
      <w:start w:val="1"/>
      <w:numFmt w:val="lowerLetter"/>
      <w:lvlText w:val="%2)"/>
      <w:lvlJc w:val="left"/>
      <w:pPr>
        <w:ind w:left="720"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6"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7"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ACB3B27"/>
    <w:multiLevelType w:val="hybridMultilevel"/>
    <w:tmpl w:val="C63A47B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3C42C8"/>
    <w:multiLevelType w:val="hybridMultilevel"/>
    <w:tmpl w:val="F9AAAC82"/>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1"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F6F1F46"/>
    <w:multiLevelType w:val="hybridMultilevel"/>
    <w:tmpl w:val="CB32D2E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F832B43"/>
    <w:multiLevelType w:val="hybridMultilevel"/>
    <w:tmpl w:val="6A107EC6"/>
    <w:lvl w:ilvl="0" w:tplc="040A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11C554E"/>
    <w:multiLevelType w:val="hybridMultilevel"/>
    <w:tmpl w:val="78689228"/>
    <w:lvl w:ilvl="0" w:tplc="040A0017">
      <w:start w:val="1"/>
      <w:numFmt w:val="lowerLetter"/>
      <w:lvlText w:val="%1)"/>
      <w:lvlJc w:val="left"/>
      <w:pPr>
        <w:ind w:left="720"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16" w15:restartNumberingAfterBreak="0">
    <w:nsid w:val="54FA404E"/>
    <w:multiLevelType w:val="hybridMultilevel"/>
    <w:tmpl w:val="BF964E18"/>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A22318"/>
    <w:multiLevelType w:val="hybridMultilevel"/>
    <w:tmpl w:val="7D2A20E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9"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241682"/>
    <w:multiLevelType w:val="hybridMultilevel"/>
    <w:tmpl w:val="FB1861B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0C6286A"/>
    <w:multiLevelType w:val="hybridMultilevel"/>
    <w:tmpl w:val="92320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5657F53"/>
    <w:multiLevelType w:val="hybridMultilevel"/>
    <w:tmpl w:val="7E062F5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F2865FB"/>
    <w:multiLevelType w:val="hybridMultilevel"/>
    <w:tmpl w:val="BB428C82"/>
    <w:lvl w:ilvl="0" w:tplc="0809000F">
      <w:start w:val="1"/>
      <w:numFmt w:val="decimal"/>
      <w:lvlText w:val="%1."/>
      <w:lvlJc w:val="left"/>
      <w:pPr>
        <w:ind w:left="3215" w:hanging="360"/>
      </w:pPr>
    </w:lvl>
    <w:lvl w:ilvl="1" w:tplc="040A0017">
      <w:start w:val="1"/>
      <w:numFmt w:val="lowerLetter"/>
      <w:lvlText w:val="%2)"/>
      <w:lvlJc w:val="left"/>
      <w:pPr>
        <w:ind w:left="720"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2139563191">
    <w:abstractNumId w:val="11"/>
  </w:num>
  <w:num w:numId="2" w16cid:durableId="856044302">
    <w:abstractNumId w:val="12"/>
  </w:num>
  <w:num w:numId="3" w16cid:durableId="462120716">
    <w:abstractNumId w:val="14"/>
  </w:num>
  <w:num w:numId="4" w16cid:durableId="789864886">
    <w:abstractNumId w:val="2"/>
  </w:num>
  <w:num w:numId="5" w16cid:durableId="1728645053">
    <w:abstractNumId w:val="17"/>
  </w:num>
  <w:num w:numId="6" w16cid:durableId="85813326">
    <w:abstractNumId w:val="20"/>
  </w:num>
  <w:num w:numId="7" w16cid:durableId="1191188355">
    <w:abstractNumId w:val="18"/>
  </w:num>
  <w:num w:numId="8" w16cid:durableId="999232160">
    <w:abstractNumId w:val="23"/>
  </w:num>
  <w:num w:numId="9" w16cid:durableId="1014069525">
    <w:abstractNumId w:val="1"/>
  </w:num>
  <w:num w:numId="10" w16cid:durableId="1870412707">
    <w:abstractNumId w:val="15"/>
  </w:num>
  <w:num w:numId="11" w16cid:durableId="841354719">
    <w:abstractNumId w:val="7"/>
  </w:num>
  <w:num w:numId="12" w16cid:durableId="1748526776">
    <w:abstractNumId w:val="3"/>
  </w:num>
  <w:num w:numId="13" w16cid:durableId="587926112">
    <w:abstractNumId w:val="22"/>
  </w:num>
  <w:num w:numId="14" w16cid:durableId="858080661">
    <w:abstractNumId w:val="16"/>
  </w:num>
  <w:num w:numId="15" w16cid:durableId="972829247">
    <w:abstractNumId w:val="4"/>
  </w:num>
  <w:num w:numId="16" w16cid:durableId="561675094">
    <w:abstractNumId w:val="19"/>
  </w:num>
  <w:num w:numId="17" w16cid:durableId="1489244769">
    <w:abstractNumId w:val="8"/>
  </w:num>
  <w:num w:numId="18" w16cid:durableId="1778714523">
    <w:abstractNumId w:val="6"/>
  </w:num>
  <w:num w:numId="19" w16cid:durableId="1754861326">
    <w:abstractNumId w:val="10"/>
  </w:num>
  <w:num w:numId="20" w16cid:durableId="543106076">
    <w:abstractNumId w:val="9"/>
  </w:num>
  <w:num w:numId="21" w16cid:durableId="152643211">
    <w:abstractNumId w:val="5"/>
  </w:num>
  <w:num w:numId="22" w16cid:durableId="1578242278">
    <w:abstractNumId w:val="24"/>
  </w:num>
  <w:num w:numId="23" w16cid:durableId="1120296807">
    <w:abstractNumId w:val="0"/>
  </w:num>
  <w:num w:numId="24" w16cid:durableId="980039531">
    <w:abstractNumId w:val="21"/>
  </w:num>
  <w:num w:numId="25" w16cid:durableId="93220176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0728FB"/>
    <w:rsid w:val="00162093"/>
    <w:rsid w:val="001B6457"/>
    <w:rsid w:val="00245BBD"/>
    <w:rsid w:val="002F78B7"/>
    <w:rsid w:val="003C0CF7"/>
    <w:rsid w:val="003E56FA"/>
    <w:rsid w:val="0067579D"/>
    <w:rsid w:val="007B69C9"/>
    <w:rsid w:val="00836B73"/>
    <w:rsid w:val="00A077D7"/>
    <w:rsid w:val="00A20275"/>
    <w:rsid w:val="00A83FA0"/>
    <w:rsid w:val="00AD56CA"/>
    <w:rsid w:val="00B909A9"/>
    <w:rsid w:val="00C84536"/>
    <w:rsid w:val="00D07464"/>
    <w:rsid w:val="00F8649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CF7"/>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rPr>
  </w:style>
  <w:style w:type="paragraph" w:customStyle="1" w:styleId="NormalNonumber">
    <w:name w:val="Normal_No_number"/>
    <w:basedOn w:val="Normal-pool"/>
    <w:qFormat/>
    <w:rsid w:val="00A83FA0"/>
    <w:pPr>
      <w:spacing w:after="120"/>
      <w:ind w:left="124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203</Words>
  <Characters>1161</Characters>
  <Application>Microsoft Office Word</Application>
  <DocSecurity>0</DocSecurity>
  <Lines>9</Lines>
  <Paragraphs>2</Paragraphs>
  <ScaleCrop>false</ScaleCrop>
  <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3</cp:revision>
  <dcterms:created xsi:type="dcterms:W3CDTF">2023-05-22T13:25:00Z</dcterms:created>
  <dcterms:modified xsi:type="dcterms:W3CDTF">2023-05-22T13:26:00Z</dcterms:modified>
</cp:coreProperties>
</file>