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495C7" w14:textId="77777777" w:rsidR="005F1505" w:rsidRPr="00DE0F03" w:rsidRDefault="005F1505" w:rsidP="005F1505">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ب-15/17</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اللجنة المعنية بإدارة آلية تعزيز التنفيذ والامتثال</w:t>
      </w:r>
    </w:p>
    <w:p w14:paraId="5962B3F4" w14:textId="77777777" w:rsidR="005F1505" w:rsidRPr="00DE0F03" w:rsidRDefault="005F1505" w:rsidP="005F1505">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3A9E8E7B" w14:textId="77777777" w:rsidR="005F1505" w:rsidRPr="00DE0F03" w:rsidRDefault="005F1505" w:rsidP="005F1505">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w:t>
      </w:r>
      <w:r w:rsidRPr="00DE0F03">
        <w:rPr>
          <w:rFonts w:ascii="Simplified Arabic" w:eastAsia="Times New Roman" w:hAnsi="Simplified Arabic" w:cs="Simplified Arabic"/>
          <w:i/>
          <w:iCs/>
          <w:sz w:val="24"/>
          <w:szCs w:val="24"/>
          <w:rtl/>
          <w:lang w:val="en-GB"/>
        </w:rPr>
        <w:t>حيط علماً</w:t>
      </w:r>
      <w:r w:rsidRPr="00DE0F03">
        <w:rPr>
          <w:rFonts w:ascii="Simplified Arabic" w:eastAsia="Times New Roman" w:hAnsi="Simplified Arabic" w:cs="Simplified Arabic"/>
          <w:sz w:val="24"/>
          <w:szCs w:val="24"/>
          <w:rtl/>
          <w:lang w:val="en-GB"/>
        </w:rPr>
        <w:t xml:space="preserve"> بمذكرة الأمانة بشأن عمل اللجنة المعنية بإدارة آلية تعزيز التنفيذ والامتثال</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ويرحب بالعمل الذي نفذته اللجنة منذ انعقاد الاجتماع الرابع عشر لمؤتمر الأطراف؛</w:t>
      </w:r>
    </w:p>
    <w:p w14:paraId="6FCCC6C5" w14:textId="77777777" w:rsidR="005F1505" w:rsidRPr="00DE0F03" w:rsidRDefault="005F1505" w:rsidP="005F1505">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أولاً</w:t>
      </w:r>
    </w:p>
    <w:p w14:paraId="1DF2555A" w14:textId="77777777" w:rsidR="005F1505" w:rsidRPr="00DE0F03" w:rsidRDefault="005F1505" w:rsidP="005F1505">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التقارير المحدَّدة المتعلقة بالتنفيذ والامتثال من الأطراف</w:t>
      </w:r>
    </w:p>
    <w:p w14:paraId="74C112D1" w14:textId="77777777" w:rsidR="005F1505" w:rsidRPr="00DE0F03" w:rsidRDefault="005F1505" w:rsidP="005F1505">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بتسوية مسائل التنفيذ والامتثال الواردة في خمسة تقارير محدد</w:t>
      </w:r>
      <w:r w:rsidRPr="00DE0F03">
        <w:rPr>
          <w:rFonts w:ascii="Simplified Arabic" w:eastAsia="Times New Roman" w:hAnsi="Simplified Arabic" w:cs="Simplified Arabic" w:hint="cs"/>
          <w:sz w:val="24"/>
          <w:szCs w:val="24"/>
          <w:rtl/>
          <w:lang w:val="en-GB"/>
        </w:rPr>
        <w:t>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p>
    <w:p w14:paraId="2DFBD3D0" w14:textId="77777777" w:rsidR="005F1505" w:rsidRPr="00DE0F03" w:rsidRDefault="005F1505" w:rsidP="005F1505">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المعنية بتقرير من التقارير المحددة أن تتعاون مع اللجنة بهدف تسوية المسألة موضع القلق؛</w:t>
      </w:r>
    </w:p>
    <w:p w14:paraId="30F99E04" w14:textId="77777777" w:rsidR="005F1505" w:rsidRPr="00DE0F03" w:rsidRDefault="005F1505" w:rsidP="005F1505">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ثانياً</w:t>
      </w:r>
    </w:p>
    <w:p w14:paraId="732FD5EB" w14:textId="77777777" w:rsidR="005F1505" w:rsidRPr="00DE0F03" w:rsidRDefault="005F1505" w:rsidP="005F1505">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استعراض مسائل الامتثال والتنفيذ العامة في إطار الاتفاقية</w:t>
      </w:r>
    </w:p>
    <w:p w14:paraId="0D2E89BE" w14:textId="77777777" w:rsidR="005F1505" w:rsidRPr="00DE0F03" w:rsidRDefault="005F1505" w:rsidP="005F1505">
      <w:pPr>
        <w:pStyle w:val="CH4"/>
        <w:keepNext w:val="0"/>
        <w:keepLines w:val="0"/>
        <w:bidi/>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rtl/>
        </w:rPr>
        <w:tab/>
      </w:r>
      <w:r w:rsidRPr="00DE0F03">
        <w:rPr>
          <w:rFonts w:ascii="Simplified Arabic" w:hAnsi="Simplified Arabic" w:cs="Simplified Arabic"/>
          <w:sz w:val="24"/>
          <w:szCs w:val="24"/>
          <w:rtl/>
        </w:rPr>
        <w:tab/>
      </w:r>
      <w:r w:rsidRPr="00DE0F03">
        <w:rPr>
          <w:rFonts w:ascii="Simplified Arabic" w:hAnsi="Simplified Arabic" w:cs="Simplified Arabic"/>
          <w:bCs/>
          <w:sz w:val="24"/>
          <w:szCs w:val="24"/>
          <w:rtl/>
        </w:rPr>
        <w:t>تقديم التقارير الوطنية: أداء فرادى الأطراف من حيث الامتثال</w:t>
      </w:r>
    </w:p>
    <w:p w14:paraId="4D66EAC1"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بالتحسن المستمر لاكتمال التقارير الوطنية المرسلة بين عامي 2010 و2017 وبتحسن تقديمها في مواعيدها؛</w:t>
      </w:r>
    </w:p>
    <w:p w14:paraId="0048D8D1"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يعرب</w:t>
      </w:r>
      <w:r w:rsidRPr="00DE0F03">
        <w:rPr>
          <w:rFonts w:ascii="Simplified Arabic" w:eastAsia="Times New Roman" w:hAnsi="Simplified Arabic" w:cs="Simplified Arabic"/>
          <w:sz w:val="24"/>
          <w:szCs w:val="24"/>
          <w:rtl/>
          <w:lang w:val="en-GB"/>
        </w:rPr>
        <w:t xml:space="preserve"> عن تقديره للأطراف البالغ عددها 44 طرفاً التي أرسلت التقرير الكامل عن العام 2016، في موعده المحدد، وهي: أذربيجان، وإريتريا، وأستراليا، وإستونيا، والإمارات العربية المتحدة، وآيسلندا، وباراغواي، والبحرين، والبرازيل، وبربادوس، وبلجيكا، وبلغاريا، والبوسنة والهرسك، وبولندا، وبوليفيا (دولة - المتعددة القوميات)، وتركيا، وتونس، وجمهورية مولدوفا، وجنوب أفريقيا، وسانت لوسيا، والسلفادور، وسلوفاكيا، وسنغافورة، وسويسرا، والعراق، وغينيا، وغينيا-بيساو، والفلبين، وفنلندا، وقطر، وكرواتيا، وكندا، وكوبا، وكوستاريكا، وكولومبيا، ولاتفيا، وليتوانيا، ومصر، والمكسيك، والمملكة العربية السعودية، وموزامبيق، ونيوزيلندا، وهندوراس، واليمن؛ </w:t>
      </w:r>
    </w:p>
    <w:p w14:paraId="05B27038"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يعرب</w:t>
      </w:r>
      <w:r w:rsidRPr="00DE0F03">
        <w:rPr>
          <w:rFonts w:ascii="Simplified Arabic" w:eastAsia="Times New Roman" w:hAnsi="Simplified Arabic" w:cs="Simplified Arabic"/>
          <w:sz w:val="24"/>
          <w:szCs w:val="24"/>
          <w:rtl/>
          <w:lang w:val="en-GB"/>
        </w:rPr>
        <w:t xml:space="preserve"> </w:t>
      </w:r>
      <w:r w:rsidRPr="00DE0F03">
        <w:rPr>
          <w:rFonts w:ascii="Simplified Arabic" w:eastAsia="Times New Roman" w:hAnsi="Simplified Arabic" w:cs="Simplified Arabic"/>
          <w:i/>
          <w:iCs/>
          <w:sz w:val="24"/>
          <w:szCs w:val="24"/>
          <w:rtl/>
          <w:lang w:val="en-GB"/>
        </w:rPr>
        <w:t>أيضاً</w:t>
      </w:r>
      <w:r w:rsidRPr="00DE0F03">
        <w:rPr>
          <w:rFonts w:ascii="Simplified Arabic" w:eastAsia="Times New Roman" w:hAnsi="Simplified Arabic" w:cs="Simplified Arabic"/>
          <w:sz w:val="24"/>
          <w:szCs w:val="24"/>
          <w:rtl/>
          <w:lang w:val="en-GB"/>
        </w:rPr>
        <w:t xml:space="preserve"> عن تقديره للأطراف البالغ عددها 44 طرفاً التي أرسلت التقرير الكامل عن العام 2017، في موعده المحدد، وهي: أذربيجان، والأرجنتين، وأرمينيا، وإريتريا، وأستراليا، وإستونيا، وأفغانستان، وألمانيا، والإمارات العربية المتحدة، والبرتغال، وبلجيكا، وبلغاريا، وبوتان، وبولندا، وبوليفيا (دولة - المتعددة القوميات)، وترينيداد وتوباغو، وتونس، وجمهورية أفريقيا الوسطى، وجمهورية مولدوفا، وجنوب أفريقيا، والدانمرك، ودولة فلسطين، ورواندا، وسلوفاكيا، وسنغافورة، والسويد، وسويسرا، والصين، والفلبين، وفنلندا، وكابو فيردي، وكرواتيا، وكندا، وكوبا، وكوت ديفوار، وكوستاريكا، وكولومبيا، ولاتفيا، وليبريا، والمكسيك، وموزامبيق، والنمسا، ونيكاراغوا، ونيوزيلندا؛</w:t>
      </w:r>
    </w:p>
    <w:p w14:paraId="2987C0DB"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يلاحظ</w:t>
      </w:r>
      <w:r w:rsidRPr="00DE0F03">
        <w:rPr>
          <w:rFonts w:ascii="Simplified Arabic" w:eastAsia="Times New Roman" w:hAnsi="Simplified Arabic" w:cs="Simplified Arabic"/>
          <w:sz w:val="24"/>
          <w:szCs w:val="24"/>
          <w:rtl/>
          <w:lang w:val="en-GB"/>
        </w:rPr>
        <w:t xml:space="preserve"> عدم تحقيق الأهداف المحددة لعامي 2016 و2017 التي وافق عليها مؤتمر الأطراف في اجتماعه الرابع عشر، فنسبة 24 في المائة من التقارير المقرر تقديمها للعام 2016 ونسبة 24 في المائة من التقارير المقرر تقديمها للعام 2017 أرسلت مكتملة وفي وقتها المحدد، وهذا أقل من الهدف المحدد الذي يبلغ 25 في المائة، في حين أن نسبة 37 في المائة من التقارير المقرر تقديمها للعام 2016 ونسبة 35 في المائة من التقارير المقرر تقديمها للعام 2017 أرسلت مكتملة بغض النظر عن ورودها في الوقت المحدد أو متأخرة، في حين كانت النسبة المستهدفة 50 في المائة؛</w:t>
      </w:r>
    </w:p>
    <w:p w14:paraId="57FE4F5C"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 أيضاً</w:t>
      </w:r>
      <w:r w:rsidRPr="00DE0F03">
        <w:rPr>
          <w:rFonts w:ascii="Simplified Arabic" w:eastAsia="Times New Roman" w:hAnsi="Simplified Arabic" w:cs="Simplified Arabic"/>
          <w:sz w:val="24"/>
          <w:szCs w:val="24"/>
          <w:rtl/>
          <w:lang w:val="en-GB"/>
        </w:rPr>
        <w:t xml:space="preserve"> أن اعتماد التنقيحات في المقررين ا ب-12/6 وا ب-13/9 للنموذج الذي سيستخدم لتقديم التقارير الوطنية عن العام 2016 وما بعده قد أدى إلى تحسن في المعدل العام لإرسال التقارير الوطنية، فحتى تاريخ 26 آب/أغسطس 2020، كانت نسبة 61 في المائة من الأطراف أو 110 من الأطراف الـ 180 التي يُطلب منها الإبلاغ، قد أرسلت تقاريرها عن العام 2016، وحتى 13 تشرين الثاني/نوفمبر 2020، كانت نسبة 59 في المائة من الأطراف، أو 107 من الأطراف الـ 182 التي يُطلب منها الإبلاغ، قد أرسلت تقاريرها عن العام 2017، وذلك بالمقارنة مع 55 في المائة من الأطراف فيما يتعلق بالإبلاغ عن العام 2015؛</w:t>
      </w:r>
    </w:p>
    <w:p w14:paraId="5237601D"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يشدد</w:t>
      </w:r>
      <w:r w:rsidRPr="00DE0F03">
        <w:rPr>
          <w:rFonts w:ascii="Simplified Arabic" w:eastAsia="Times New Roman" w:hAnsi="Simplified Arabic" w:cs="Simplified Arabic"/>
          <w:sz w:val="24"/>
          <w:szCs w:val="24"/>
          <w:rtl/>
          <w:lang w:val="en-GB"/>
        </w:rPr>
        <w:t xml:space="preserve"> على خطورة عدم تقديم التقارير أو تقديم التقارير ناقصة أو التأخر في تقديمها بسبب الصلة الوثيقة بين الالتزامات الأساسية المنصوص عليها في الاتفاقية والالتزام بإرسال التقارير الوطنية وفقاً للفقرة 3 من المادة 13 من الاتفاقية؛</w:t>
      </w:r>
    </w:p>
    <w:p w14:paraId="316F190B" w14:textId="77777777" w:rsidR="005F1505" w:rsidRPr="00DE0F03" w:rsidRDefault="005F1505" w:rsidP="005F1505">
      <w:pPr>
        <w:spacing w:after="120" w:line="360" w:lineRule="exact"/>
        <w:ind w:left="1134"/>
        <w:jc w:val="both"/>
        <w:textDirection w:val="tbRlV"/>
        <w:rPr>
          <w:rFonts w:ascii="Simplified Arabic" w:hAnsi="Simplified Arabic"/>
          <w:b/>
          <w:bCs/>
          <w:szCs w:val="24"/>
          <w:lang w:val="en-GB"/>
        </w:rPr>
      </w:pPr>
      <w:r w:rsidRPr="00DE0F03">
        <w:rPr>
          <w:rFonts w:ascii="Simplified Arabic" w:hAnsi="Simplified Arabic"/>
          <w:b/>
          <w:bCs/>
          <w:szCs w:val="24"/>
          <w:rtl/>
          <w:lang w:val="en-GB"/>
        </w:rPr>
        <w:t>تقديم تقارير الإبلاغ الوطنية: القيم المستهدفة</w:t>
      </w:r>
    </w:p>
    <w:p w14:paraId="0E20930A"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يحدد</w:t>
      </w:r>
      <w:r w:rsidRPr="00DE0F03">
        <w:rPr>
          <w:rFonts w:ascii="Simplified Arabic" w:eastAsia="Times New Roman" w:hAnsi="Simplified Arabic" w:cs="Simplified Arabic"/>
          <w:sz w:val="24"/>
          <w:szCs w:val="24"/>
          <w:rtl/>
          <w:lang w:val="en-GB"/>
        </w:rPr>
        <w:t>، كوسيلة لقياس التقدم المحرز في تنفيذ الفقرة 3 من المادة 13 من الاتفاقية والامتثال لها بوجه عام، القيم المستهدفة التالية بالنسبة للتقارير المقرر تقديمها عن العام 2018 والأعوام اللاحقة</w:t>
      </w:r>
      <w:r w:rsidRPr="00DE0F03">
        <w:rPr>
          <w:rFonts w:ascii="Simplified Arabic" w:eastAsia="Times New Roman" w:hAnsi="Simplified Arabic" w:cs="Simplified Arabic"/>
          <w:sz w:val="24"/>
          <w:szCs w:val="24"/>
          <w:lang w:val="en-GB"/>
        </w:rPr>
        <w:t>:</w:t>
      </w:r>
      <w:r w:rsidRPr="00DE0F03">
        <w:rPr>
          <w:rFonts w:ascii="Simplified Arabic" w:eastAsia="Times New Roman" w:hAnsi="Simplified Arabic" w:cs="Simplified Arabic"/>
          <w:sz w:val="24"/>
          <w:szCs w:val="24"/>
          <w:rtl/>
          <w:lang w:val="en-GB"/>
        </w:rPr>
        <w:t xml:space="preserve"> </w:t>
      </w:r>
    </w:p>
    <w:p w14:paraId="12B5AA85" w14:textId="77777777" w:rsidR="005F1505" w:rsidRPr="00DE0F03" w:rsidRDefault="005F1505" w:rsidP="005F1505">
      <w:pPr>
        <w:pStyle w:val="Normal-pool"/>
        <w:numPr>
          <w:ilvl w:val="0"/>
          <w:numId w:val="32"/>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rPr>
      </w:pPr>
      <w:r w:rsidRPr="00DE0F03">
        <w:rPr>
          <w:rFonts w:ascii="Simplified Arabic" w:hAnsi="Simplified Arabic" w:cs="Simplified Arabic"/>
          <w:sz w:val="24"/>
          <w:szCs w:val="24"/>
        </w:rPr>
        <w:t xml:space="preserve">25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يحل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موعدها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ترسل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مكتملة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الوقت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المحدد</w:t>
      </w:r>
      <w:proofErr w:type="spellEnd"/>
      <w:r w:rsidRPr="00DE0F03">
        <w:rPr>
          <w:rFonts w:ascii="Simplified Arabic" w:hAnsi="Simplified Arabic" w:cs="Simplified Arabic"/>
          <w:sz w:val="24"/>
          <w:szCs w:val="24"/>
        </w:rPr>
        <w:t>؛</w:t>
      </w:r>
      <w:proofErr w:type="gramEnd"/>
    </w:p>
    <w:p w14:paraId="5E5B7985" w14:textId="77777777" w:rsidR="005F1505" w:rsidRPr="00DE0F03" w:rsidRDefault="005F1505" w:rsidP="005F1505">
      <w:pPr>
        <w:pStyle w:val="Normal-pool"/>
        <w:numPr>
          <w:ilvl w:val="0"/>
          <w:numId w:val="32"/>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r w:rsidRPr="00DE0F03">
        <w:rPr>
          <w:rFonts w:ascii="Simplified Arabic" w:hAnsi="Simplified Arabic" w:cs="Simplified Arabic"/>
          <w:sz w:val="24"/>
          <w:szCs w:val="24"/>
        </w:rPr>
        <w:t xml:space="preserve">50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يحل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موعدها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ترسل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مكتملة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سواءً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الوقت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متأخرة</w:t>
      </w:r>
      <w:proofErr w:type="spellEnd"/>
      <w:r w:rsidRPr="00DE0F03">
        <w:rPr>
          <w:rFonts w:ascii="Simplified Arabic" w:hAnsi="Simplified Arabic" w:cs="Simplified Arabic"/>
          <w:sz w:val="24"/>
          <w:szCs w:val="24"/>
        </w:rPr>
        <w:t>؛</w:t>
      </w:r>
      <w:proofErr w:type="gramEnd"/>
    </w:p>
    <w:p w14:paraId="7651CEE9" w14:textId="77777777" w:rsidR="005F1505" w:rsidRPr="00DE0F03" w:rsidRDefault="005F1505" w:rsidP="005F1505">
      <w:pPr>
        <w:pStyle w:val="Normal-pool"/>
        <w:numPr>
          <w:ilvl w:val="0"/>
          <w:numId w:val="32"/>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rPr>
        <w:t xml:space="preserve">70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يحل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موعدها</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تُرسل</w:t>
      </w:r>
      <w:proofErr w:type="spellEnd"/>
      <w:r w:rsidRPr="00DE0F03">
        <w:rPr>
          <w:rFonts w:ascii="Simplified Arabic" w:hAnsi="Simplified Arabic" w:cs="Simplified Arabic"/>
          <w:sz w:val="24"/>
          <w:szCs w:val="24"/>
        </w:rPr>
        <w:t>؛</w:t>
      </w:r>
      <w:proofErr w:type="gramEnd"/>
    </w:p>
    <w:p w14:paraId="3B7BBA8E" w14:textId="77777777" w:rsidR="005F1505" w:rsidRPr="00DE0F03" w:rsidRDefault="005F1505" w:rsidP="005F1505">
      <w:pPr>
        <w:spacing w:after="120" w:line="360" w:lineRule="exact"/>
        <w:ind w:left="1134"/>
        <w:jc w:val="both"/>
        <w:textDirection w:val="tbRlV"/>
        <w:rPr>
          <w:rFonts w:ascii="Simplified Arabic" w:hAnsi="Simplified Arabic"/>
          <w:b/>
          <w:bCs/>
          <w:szCs w:val="24"/>
          <w:lang w:val="en-GB"/>
        </w:rPr>
      </w:pPr>
      <w:r w:rsidRPr="00DE0F03">
        <w:rPr>
          <w:rFonts w:ascii="Simplified Arabic" w:hAnsi="Simplified Arabic"/>
          <w:b/>
          <w:bCs/>
          <w:szCs w:val="24"/>
          <w:rtl/>
          <w:lang w:val="en-GB"/>
        </w:rPr>
        <w:t>تقديم تقارير الإبلاغ الوطنية: الإدماج في إطار الأمم المتحدة للتعاون من أجل التنمية المستدام</w:t>
      </w:r>
      <w:r w:rsidRPr="00DE0F03">
        <w:rPr>
          <w:rFonts w:ascii="Simplified Arabic" w:hAnsi="Simplified Arabic" w:hint="cs"/>
          <w:b/>
          <w:bCs/>
          <w:szCs w:val="24"/>
          <w:rtl/>
          <w:lang w:val="en-GB"/>
        </w:rPr>
        <w:t>ة</w:t>
      </w:r>
      <w:r w:rsidRPr="00DE0F03">
        <w:rPr>
          <w:rFonts w:ascii="Simplified Arabic" w:hAnsi="Simplified Arabic" w:hint="cs"/>
          <w:b/>
          <w:bCs/>
          <w:szCs w:val="24"/>
          <w:vertAlign w:val="superscript"/>
          <w:rtl/>
          <w:lang w:val="en-GB"/>
        </w:rPr>
        <w:t>(</w:t>
      </w:r>
      <w:r w:rsidRPr="00DE0F03">
        <w:rPr>
          <w:rStyle w:val="FootnoteReference"/>
          <w:rFonts w:ascii="Simplified Arabic" w:hAnsi="Simplified Arabic"/>
          <w:b/>
          <w:bCs/>
          <w:szCs w:val="24"/>
          <w:rtl/>
          <w:lang w:val="en-GB"/>
        </w:rPr>
        <w:footnoteReference w:id="3"/>
      </w:r>
      <w:r w:rsidRPr="00DE0F03">
        <w:rPr>
          <w:rFonts w:ascii="Simplified Arabic" w:hAnsi="Simplified Arabic" w:hint="cs"/>
          <w:b/>
          <w:bCs/>
          <w:szCs w:val="24"/>
          <w:vertAlign w:val="superscript"/>
          <w:rtl/>
          <w:lang w:val="en-GB"/>
        </w:rPr>
        <w:t>)</w:t>
      </w:r>
    </w:p>
    <w:p w14:paraId="14B0A172"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يكرر</w:t>
      </w:r>
      <w:r w:rsidRPr="00DE0F03">
        <w:rPr>
          <w:rFonts w:ascii="Simplified Arabic" w:eastAsia="Times New Roman" w:hAnsi="Simplified Arabic" w:cs="Simplified Arabic"/>
          <w:sz w:val="24"/>
          <w:szCs w:val="24"/>
          <w:rtl/>
          <w:lang w:val="en-GB"/>
        </w:rPr>
        <w:t xml:space="preserve"> </w:t>
      </w:r>
      <w:r w:rsidRPr="00DE0F03">
        <w:rPr>
          <w:rFonts w:ascii="Simplified Arabic" w:eastAsia="Times New Roman" w:hAnsi="Simplified Arabic" w:cs="Simplified Arabic"/>
          <w:i/>
          <w:iCs/>
          <w:sz w:val="24"/>
          <w:szCs w:val="24"/>
          <w:rtl/>
          <w:lang w:val="en-GB"/>
        </w:rPr>
        <w:t>تأكيد</w:t>
      </w:r>
      <w:r w:rsidRPr="00DE0F03">
        <w:rPr>
          <w:rFonts w:ascii="Simplified Arabic" w:eastAsia="Times New Roman" w:hAnsi="Simplified Arabic" w:cs="Simplified Arabic"/>
          <w:sz w:val="24"/>
          <w:szCs w:val="24"/>
          <w:rtl/>
          <w:lang w:val="en-GB"/>
        </w:rPr>
        <w:t xml:space="preserve"> أهمية الصلة بين تحقيق الهدف 12 من أهداف التنمية المستدامة وإرسال التقارير الوطنية بموجب الاتفاقية؛</w:t>
      </w:r>
    </w:p>
    <w:p w14:paraId="572E4D4E"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يشدّد</w:t>
      </w:r>
      <w:r w:rsidRPr="00DE0F03">
        <w:rPr>
          <w:rFonts w:ascii="Simplified Arabic" w:eastAsia="Times New Roman" w:hAnsi="Simplified Arabic" w:cs="Simplified Arabic"/>
          <w:sz w:val="24"/>
          <w:szCs w:val="24"/>
          <w:rtl/>
          <w:lang w:val="en-GB"/>
        </w:rPr>
        <w:t xml:space="preserve"> على احتمال أن يشير عدم إرسال التقارير الوطنية بموجب الاتفاقية إلى وجود حاجة أساسية إلى الدعم من أجل تنفيذ الالتزامات الأخرى المنصوص عليها في الاتفاقية، وذلك فيما يتعلق مثلاً بالتحكم في نقل النفايات الخطرة والنفايات الأخرى عبر الحدود، والتقليل إلى أدنى حد من إنتاج النفايات، والإدارة السليمة بيئياً للنفايات؛</w:t>
      </w:r>
    </w:p>
    <w:p w14:paraId="2658A0B3"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الأطراف، ولا سيما الأطراف التي تم التعرف على احتياجاتها المتعلقة بالإبلاغ عن طريق تصنيف الأداء من حيث الامتثال الذي أعدته اللجنة للأداء فيما يتعلق بالإبلاغ الوطني عن العامين 2016 </w:t>
      </w:r>
      <w:r w:rsidRPr="00DE0F03">
        <w:rPr>
          <w:rFonts w:ascii="Simplified Arabic" w:eastAsia="Times New Roman" w:hAnsi="Simplified Arabic" w:cs="Simplified Arabic"/>
          <w:sz w:val="24"/>
          <w:szCs w:val="24"/>
          <w:rtl/>
          <w:lang w:val="en-GB"/>
        </w:rPr>
        <w:lastRenderedPageBreak/>
        <w:t>و2017، إلى إدماج الإجراءات الرامية إلى تلبية احتياجاتها فيما يتعلق بتنفيذ الاتفاقية ضمن إطار الأمم المتحدة للتعاون من أجل التنمية المستدامة (إطار عمل الأمم المتحدة للمساعدة الإنمائية سابقاً)، لا سيما أثناء عمليات التخطيط الإنمائي الوطني، والاتفاق على نتائج ونواتج إطار التعاون، وصياغة وثيقة إطار التعاون؛</w:t>
      </w:r>
    </w:p>
    <w:p w14:paraId="3119B411"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تدرج فيما تنفذه من أنشطة المساعدة التقنية المتعلقة بإرسال التقارير الوطنية، تقديم المساعدة للأطراف في إدماج الإجراءات الرامية إلى تلبية الاحتياجات ذات الصلة ضمن إطار التعاون الخاص بها؛ </w:t>
      </w:r>
      <w:bookmarkStart w:id="1" w:name="t1JfDvSA6MVe4Jj5MAig"/>
      <w:bookmarkStart w:id="2" w:name="ivw8l1KESq9JeOjQJ2w"/>
      <w:bookmarkStart w:id="3" w:name="esdJnyMFTGqj0voWSCwGbQ"/>
      <w:bookmarkStart w:id="4" w:name="2sHFMQzuRuaqhSDpDqq6tg"/>
      <w:bookmarkStart w:id="5" w:name="9LuS3OJQDWOIbk7GhUACg"/>
      <w:bookmarkStart w:id="6" w:name="kljCFT72RMGrfZvNKbCasw"/>
      <w:bookmarkStart w:id="7" w:name="P4ahCXmRqZGJTJ04mFlQ"/>
      <w:bookmarkStart w:id="8" w:name="Kyw79lArTMOSbq9tAVmhow"/>
      <w:bookmarkEnd w:id="1"/>
      <w:bookmarkEnd w:id="2"/>
      <w:bookmarkEnd w:id="3"/>
      <w:bookmarkEnd w:id="4"/>
      <w:bookmarkEnd w:id="5"/>
      <w:bookmarkEnd w:id="6"/>
      <w:bookmarkEnd w:id="7"/>
      <w:bookmarkEnd w:id="8"/>
    </w:p>
    <w:p w14:paraId="421DBD21"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 أيضاً</w:t>
      </w:r>
      <w:r w:rsidRPr="00DE0F03">
        <w:rPr>
          <w:rFonts w:ascii="Simplified Arabic" w:eastAsia="Times New Roman" w:hAnsi="Simplified Arabic" w:cs="Simplified Arabic"/>
          <w:sz w:val="24"/>
          <w:szCs w:val="24"/>
          <w:rtl/>
          <w:lang w:val="en-GB"/>
        </w:rPr>
        <w:t xml:space="preserve"> إلى الأمانة، ويدعو برنامج الأمم المتحدة للبيئة وغيره من الكيانات المكلفة بولاية تقديم الدعم للأطراف في تنفيذ اتفاقية بازل، مثل منظمة الأغذية والزراعة للأمم المتحدة ومرفق البيئة العالمية، بما في ذلك في سياق الأنشطة ذات الصلة الممولة في إطار اتفاقية استكهولم بشأن الملوثات العضوية الثابتة، وبرنامج الأمم المتحدة الإنمائي، ومنظمة الأمم المتحدة للتنمية الصناعية والبنك الدولي ومصارف التنمية الإقليمية، إلى أن تعمل في شراكة فيما يتعلق بتقديم الدعم للأطراف التي لديها احتياجات في مجال تقديم التقارير الوطنية وأن تتواصل مع الجهات المعنية من أفرقة الأمم المتحدة القطرية والمنسقين المقيمين بهدف إدماج الإجراءات الرامية لتلبية تلك الاحتياجات ضمن أطر التعاون الخاصة بتلك الأطراف؛ </w:t>
      </w:r>
    </w:p>
    <w:p w14:paraId="09ED635F"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مؤتمر الأطراف في اتفاقية روتردام المتعلقة بتطبيق إجراء الموافقة المسبقة عن علم على مواد كيميائية ومبيدات آفات معينة خطرة متداولة في التجارة الدولية إلى النظر في أن يطلب إلى لجنة الامتثال التابعة له، في سياق برنامج عمله لفترة السنتين 2022–2023، وبهدف تمكين قياس تحقيق الهدف 12 من أهداف التنمية المستدامة، أن ترصد الجهود التي تبذلها الأطراف التي تواجه صعوبات في إرسال المعلومات عملاً بأحكام الاتفاقية من أجل إدماج الإجراءات الرامية إلى معالجة تلك الصعوبات ضمن إطار التعاون الخاص بها وتحديد أفضل الممارسات بين تلك الجهود، بالتعاون، حسب الاقتضاء، مع اللجنة المعنية بإدارة آلية تعزيز التنفيذ والامتثال؛</w:t>
      </w:r>
    </w:p>
    <w:p w14:paraId="7309F8D1" w14:textId="77777777" w:rsidR="005F1505" w:rsidRPr="00DE0F03" w:rsidRDefault="005F1505" w:rsidP="005F1505">
      <w:pPr>
        <w:spacing w:after="120" w:line="360" w:lineRule="exact"/>
        <w:ind w:left="1134"/>
        <w:jc w:val="both"/>
        <w:textDirection w:val="tbRlV"/>
        <w:rPr>
          <w:rFonts w:ascii="Simplified Arabic" w:hAnsi="Simplified Arabic"/>
          <w:b/>
          <w:bCs/>
          <w:szCs w:val="24"/>
          <w:lang w:val="en-GB"/>
        </w:rPr>
      </w:pPr>
      <w:r w:rsidRPr="00DE0F03">
        <w:rPr>
          <w:rFonts w:ascii="Simplified Arabic" w:hAnsi="Simplified Arabic"/>
          <w:b/>
          <w:bCs/>
          <w:szCs w:val="24"/>
          <w:rtl/>
          <w:lang w:val="en-GB"/>
        </w:rPr>
        <w:t xml:space="preserve">تقديم تقارير الإبلاغ الوطنية: الأنشطة التي تنفذها الكيانات بهدف مساعدة الأطراف في إرسال التقارير الوطنية </w:t>
      </w:r>
    </w:p>
    <w:p w14:paraId="609B6ACD"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المراكز الإقليمية والتنسيقية لاتفاقية بازل، وبرنامج الأمم المتحدة للبيئة، والكيانات الأخرى مثل منظمة الأغذية والزراعة للأمم المتحدة، ومرفق البيئة العالمية، وبرنامج الأمم المتحدة الإنمائي، ومنظمة الأمم المتحدة للتنمية الصناعية، والبنك الدولي، ومصارف التنمية الإقليمية على القيام بما يلي:</w:t>
      </w:r>
    </w:p>
    <w:p w14:paraId="455D247F" w14:textId="77777777" w:rsidR="005F1505" w:rsidRPr="00DE0F03" w:rsidRDefault="005F1505" w:rsidP="005F1505">
      <w:pPr>
        <w:pStyle w:val="Normal-pool"/>
        <w:numPr>
          <w:ilvl w:val="0"/>
          <w:numId w:val="33"/>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الاستبيانات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تلتمس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تمكين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إنجاز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ولايتها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المتمثلة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تحسين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3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المادة</w:t>
      </w:r>
      <w:proofErr w:type="spellEnd"/>
      <w:r w:rsidRPr="00DE0F03">
        <w:rPr>
          <w:rFonts w:ascii="Simplified Arabic" w:hAnsi="Simplified Arabic" w:cs="Simplified Arabic"/>
          <w:sz w:val="24"/>
          <w:szCs w:val="24"/>
        </w:rPr>
        <w:t xml:space="preserve"> 13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لها</w:t>
      </w:r>
      <w:proofErr w:type="spellEnd"/>
      <w:r w:rsidRPr="00DE0F03">
        <w:rPr>
          <w:rFonts w:ascii="Simplified Arabic" w:hAnsi="Simplified Arabic" w:cs="Simplified Arabic"/>
          <w:sz w:val="24"/>
          <w:szCs w:val="24"/>
        </w:rPr>
        <w:t>؛</w:t>
      </w:r>
      <w:proofErr w:type="gramEnd"/>
    </w:p>
    <w:p w14:paraId="214DF6CD" w14:textId="77777777" w:rsidR="005F1505" w:rsidRPr="00DE0F03" w:rsidRDefault="005F1505" w:rsidP="005F1505">
      <w:pPr>
        <w:pStyle w:val="Normal-pool"/>
        <w:numPr>
          <w:ilvl w:val="0"/>
          <w:numId w:val="33"/>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المشاركة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بصفة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مراقب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تضطلع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الحلقات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الدراسية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وحلقات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القطرية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إرسال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w:t>
      </w:r>
      <w:proofErr w:type="gramEnd"/>
    </w:p>
    <w:p w14:paraId="4701E812"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في سياق تحديد ما تحتاجه من المساعدة التقنية، مثلاً عند استكمال استبيان الأمانة بشأنها، وعند وضع خطط العمل للمراكز الإقليمية والتنسيقية التابعة لاتفاقية بازل ووضع إطار التعاون الخاص بها، على أن تدرج إرسال التقارير الوطنية كنشاط ذي أولوية؛ </w:t>
      </w:r>
    </w:p>
    <w:p w14:paraId="2F30CCF6"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يشجع</w:t>
      </w:r>
      <w:r w:rsidRPr="00DE0F03">
        <w:rPr>
          <w:rFonts w:ascii="Simplified Arabic" w:eastAsia="Times New Roman" w:hAnsi="Simplified Arabic" w:cs="Simplified Arabic"/>
          <w:sz w:val="24"/>
          <w:szCs w:val="24"/>
          <w:rtl/>
          <w:lang w:val="en-GB"/>
        </w:rPr>
        <w:t xml:space="preserve"> المراكز الإقليمية والتنسيقية التابعة لاتفاقية بازل، والمجلس التنفيذي للبرنامج الخاص للدعم المؤسسي على الصعيد الوطني لتنفيذ اتفاقيات بازل وروتردام واستكهولم واتفاقية ميناماتا والنهج الاستراتيجي للإدارة الدولية للمواد الكيميائية، وبرنامج الأمم المتحدة للبيئة، والكيانات الأخرى مثل منظمة الأغذية والزراعة للأمم المتحدة، وبرنامج الأمم المتحدة الإنمائي، ومنظمة الأمم المتحدة للتنمية الصناعية، والبنك الدولي، ومصارف التنمية الإقليمية، وكذلك مرفق البيئة العالمية في سياق الأنشطة ذات الصلة المموَّلة في إطار اتفاقية استكهولم، على أن تُدرج إرسال التقارير الوطنية إلى الأمانة عملاً بالفقرة 3 من المادة 13 من اتفاقية بازل كناتج فعلي من نواتج أنشطتها أو تسعى لإدراج هذا الإرسال كناتج فعلي للأنشطة التي تمولها من أجل تقديم الدعم للأطراف في تنفيذ الاتفاقية؛ </w:t>
      </w:r>
    </w:p>
    <w:p w14:paraId="7E33CBB6"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تدرج إرسال التقارير الوطنية إلى الأمانة عملاً بالفقرة 3 من المادة 13 كناتج فعلي لأنشطة المساعدة التقنية التي تضطلع بها، أو أن تسعى إلى إدراج هذا الإرسال كناتج فعلي لأنشطة المساعدة التقنية التي تمولها، من أجل تقديم الدعم للأطراف في تنفيذ الاتفاقية؛</w:t>
      </w:r>
    </w:p>
    <w:p w14:paraId="241AF6DC" w14:textId="77777777" w:rsidR="005F1505" w:rsidRPr="00DE0F03" w:rsidRDefault="005F1505" w:rsidP="005F1505">
      <w:pPr>
        <w:bidi w:val="0"/>
        <w:rPr>
          <w:rFonts w:ascii="Simplified Arabic" w:hAnsi="Simplified Arabic"/>
          <w:b/>
          <w:bCs/>
          <w:szCs w:val="24"/>
          <w:rtl/>
          <w:lang w:val="en-GB"/>
        </w:rPr>
      </w:pPr>
      <w:r w:rsidRPr="00DE0F03">
        <w:rPr>
          <w:rFonts w:ascii="Simplified Arabic" w:hAnsi="Simplified Arabic"/>
          <w:b/>
          <w:bCs/>
          <w:szCs w:val="24"/>
          <w:rtl/>
          <w:lang w:val="en-GB"/>
        </w:rPr>
        <w:br w:type="page"/>
      </w:r>
    </w:p>
    <w:p w14:paraId="397D2592" w14:textId="77777777" w:rsidR="005F1505" w:rsidRPr="00DE0F03" w:rsidRDefault="005F1505" w:rsidP="005F1505">
      <w:pPr>
        <w:spacing w:after="120" w:line="360" w:lineRule="exact"/>
        <w:ind w:left="1134"/>
        <w:jc w:val="both"/>
        <w:textDirection w:val="tbRlV"/>
        <w:rPr>
          <w:rFonts w:ascii="Simplified Arabic" w:hAnsi="Simplified Arabic"/>
          <w:b/>
          <w:bCs/>
          <w:szCs w:val="24"/>
          <w:lang w:val="en-GB"/>
        </w:rPr>
      </w:pPr>
      <w:r w:rsidRPr="00DE0F03">
        <w:rPr>
          <w:rFonts w:ascii="Simplified Arabic" w:hAnsi="Simplified Arabic"/>
          <w:b/>
          <w:bCs/>
          <w:szCs w:val="24"/>
          <w:rtl/>
          <w:lang w:val="en-GB"/>
        </w:rPr>
        <w:lastRenderedPageBreak/>
        <w:t>تقديم تقارير الإبلاغ الوطنية: التوصيات بشأن أفضل السبل للاستفادة من المعلومات الواردة في التقارير الوطنية</w:t>
      </w:r>
    </w:p>
    <w:p w14:paraId="11172F1A"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الأطراف إلى تبادل خبراتها وكيفية استخدامها على الصعيد الوطني للمعلومات التي تُرسل سنوياً بواسطة التقارير الوطنية والفوائد التي تجنيها من المعلومات التي تُرسلها الأطراف الأخرى بواسطة التقارير الوطنية، ويطلب إلى الأمانة، رهناً بتوافر الموارد، أن تعد دراسات حالات إفرادية لتوضيح ما يرد من تعليقات؛</w:t>
      </w:r>
    </w:p>
    <w:p w14:paraId="4176C2D9"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رهناً بتوافر الموارد، ما يلي:</w:t>
      </w:r>
    </w:p>
    <w:p w14:paraId="041DE6D6" w14:textId="77777777" w:rsidR="005F1505" w:rsidRPr="00DE0F03" w:rsidRDefault="005F1505" w:rsidP="005F1505">
      <w:pPr>
        <w:pStyle w:val="Normal-pool"/>
        <w:numPr>
          <w:ilvl w:val="0"/>
          <w:numId w:val="34"/>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الإصدار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المنتظم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لمنشور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proofErr w:type="gram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حدود</w:t>
      </w:r>
      <w:proofErr w:type="spellEnd"/>
      <w:r w:rsidRPr="00DE0F03">
        <w:rPr>
          <w:rFonts w:ascii="Simplified Arabic" w:hAnsi="Simplified Arabic" w:cs="Simplified Arabic"/>
          <w:sz w:val="24"/>
          <w:szCs w:val="24"/>
        </w:rPr>
        <w:t xml:space="preserve">“ </w:t>
      </w:r>
      <w:r w:rsidRPr="00DE0F03">
        <w:rPr>
          <w:rFonts w:asciiTheme="majorBidi" w:eastAsia="Times New Roman" w:hAnsiTheme="majorBidi" w:cstheme="majorBidi"/>
          <w:sz w:val="22"/>
          <w:szCs w:val="22"/>
          <w:lang w:eastAsia="en-GB"/>
        </w:rPr>
        <w:t>(Waste Without Frontiers)</w:t>
      </w:r>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وتعزز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نظام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الإلكتروني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لإتاحة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الاستعلام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w:t>
      </w:r>
    </w:p>
    <w:p w14:paraId="0A2D57B8" w14:textId="77777777" w:rsidR="005F1505" w:rsidRPr="00DE0F03" w:rsidRDefault="005F1505" w:rsidP="005F1505">
      <w:pPr>
        <w:pStyle w:val="Normal-pool"/>
        <w:numPr>
          <w:ilvl w:val="0"/>
          <w:numId w:val="34"/>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تبحث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فرص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إصدار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منشور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والمؤسسية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تُظهرها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الواردة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ويبرز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الصدد</w:t>
      </w:r>
      <w:proofErr w:type="spellEnd"/>
      <w:r w:rsidRPr="00DE0F03">
        <w:rPr>
          <w:rFonts w:ascii="Simplified Arabic" w:hAnsi="Simplified Arabic" w:cs="Simplified Arabic"/>
          <w:sz w:val="24"/>
          <w:szCs w:val="24"/>
        </w:rPr>
        <w:t>؛</w:t>
      </w:r>
      <w:proofErr w:type="gramEnd"/>
    </w:p>
    <w:p w14:paraId="088AD542" w14:textId="77777777" w:rsidR="005F1505" w:rsidRPr="00DE0F03" w:rsidRDefault="005F1505" w:rsidP="005F1505">
      <w:pPr>
        <w:pStyle w:val="Normal-pool"/>
        <w:numPr>
          <w:ilvl w:val="0"/>
          <w:numId w:val="34"/>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تضاعف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جهودها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إعلام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صاحبة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المصلحة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والدولية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أهداف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المستدامة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الهدف</w:t>
      </w:r>
      <w:proofErr w:type="spellEnd"/>
      <w:r w:rsidRPr="00DE0F03">
        <w:rPr>
          <w:rFonts w:ascii="Simplified Arabic" w:hAnsi="Simplified Arabic" w:cs="Simplified Arabic"/>
          <w:sz w:val="24"/>
          <w:szCs w:val="24"/>
        </w:rPr>
        <w:t xml:space="preserve"> 12،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نحو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أوسع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بأهمية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إرسال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إطار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w:t>
      </w:r>
      <w:proofErr w:type="gramEnd"/>
    </w:p>
    <w:p w14:paraId="51240D48"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bCs/>
          <w:sz w:val="24"/>
          <w:szCs w:val="24"/>
          <w:rtl/>
        </w:rPr>
        <w:t>الاتجار غير القانوني: عملية تحديد النطاق</w:t>
      </w:r>
    </w:p>
    <w:p w14:paraId="6F1E67DB"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يذكّر</w:t>
      </w:r>
      <w:r w:rsidRPr="00DE0F03">
        <w:rPr>
          <w:rFonts w:ascii="Simplified Arabic" w:eastAsia="Times New Roman" w:hAnsi="Simplified Arabic" w:cs="Simplified Arabic"/>
          <w:sz w:val="24"/>
          <w:szCs w:val="24"/>
          <w:rtl/>
          <w:lang w:val="en-GB"/>
        </w:rPr>
        <w:t xml:space="preserve"> الأطراف بأهمية التزامها باستكمال الجدول 9 من نموذج الإبلاغ؛</w:t>
      </w:r>
    </w:p>
    <w:p w14:paraId="7C83418E"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المراكز الإقليمية والتنسيقية لاتفاقية بازل، وبرنامج الأمم المتحدة للبيئة، ومنظمات الإنفاذ مثل المنظمة الدولية للشرطة الجنائية ومنظمة الجمارك العالمية على التعاون مع اللجنة، بوسائل منها الرد على الاستبيانات التي تلتمس المعلومات، من أجل تمكين اللجنة من إنجاز ولايتها فيما يتعلق بمنع الاتجار غير القانوني ومكافحته؛</w:t>
      </w:r>
    </w:p>
    <w:p w14:paraId="5276CE4F"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رهناً بتوافر الموارد، ويشجع المنظمات المكلَّفة بولاية تقديم المساعدة للأطراف في منع الاتجار غير القانوني ومكافحته، في سياق الأنشطة التي ينفذها كل منها، مثل عمليات الإنفاذ، أن تجمع معلومات استناداً إلى المعلومات الواردة في الجدول 9 من التقارير الوطنية عن عدد حالات الاتجار غير القانوني التي تظهر، ونوعية النفايات ذات الصلة بها، والمناطق التي تُكشف فيها تلك الحالات وكيفية تسويتها؛</w:t>
      </w:r>
    </w:p>
    <w:p w14:paraId="32D591EE"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أيضاً إلى الأمانة، رهناً بتوافر الموارد، أن توطد على أساس سنوي وتحسِّن من ظهور المعلومات المتعلقة بحالات الاتجار غير القانوني التي تبلغ عنها الأطراف على موقعها الشبكي، استناداً إلى تقاريرها الوطنية؛</w:t>
      </w:r>
    </w:p>
    <w:p w14:paraId="464C1A26"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bCs/>
          <w:sz w:val="24"/>
          <w:szCs w:val="24"/>
        </w:rPr>
      </w:pPr>
      <w:r w:rsidRPr="00DE0F03">
        <w:rPr>
          <w:rFonts w:ascii="Simplified Arabic" w:hAnsi="Simplified Arabic" w:cs="Simplified Arabic"/>
          <w:bCs/>
          <w:sz w:val="24"/>
          <w:szCs w:val="24"/>
          <w:rtl/>
        </w:rPr>
        <w:t>الاتجار غير القانوني: آليات التنسيق الوطنية</w:t>
      </w:r>
    </w:p>
    <w:p w14:paraId="7093F09B"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رهناً بتوافر الموارد، ويشجع المنظمات المكلَّفة بولاية تقديم المساعدة للأطراف في منع الاتجار غير القانوني ومكافحته، أن تتعاون فيما بينها، بسبل منها الشبكة البيئية لترشيد الامتثال التنظيمي بشأن الاتجار غير القانوني، على الاضطلاع بتدريب مشترك بين السلطات المختصة وكيانات الإنفاذ </w:t>
      </w:r>
      <w:r w:rsidRPr="00DE0F03">
        <w:rPr>
          <w:rFonts w:ascii="Simplified Arabic" w:eastAsia="Times New Roman" w:hAnsi="Simplified Arabic" w:cs="Simplified Arabic"/>
          <w:sz w:val="24"/>
          <w:szCs w:val="24"/>
          <w:rtl/>
          <w:lang w:val="en-GB"/>
        </w:rPr>
        <w:lastRenderedPageBreak/>
        <w:t>في مجال منع الاتجار غير القانوني ومكافحته بهدف تعزيز التنسيق على الصعيد الوطني، بما في ذلك فيما يتعلق بإضفاء الطابع الرسمي على آليات التنسيق الوطنية؛</w:t>
      </w:r>
      <w:bookmarkStart w:id="9" w:name="_Hlk35797068"/>
      <w:bookmarkEnd w:id="9"/>
    </w:p>
    <w:p w14:paraId="76824B1D"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المنظمات المكلَّفة بولاية الاضطلاع بعمليات الإنفاذ لمنع الاتجار غير القانوني ومكافحته، مثل المنظمة الدولية للشرطة الجنائية ومنظمة الجمارك العالمية، إلى التعاون مع الأمانة بهدف تعزيز الاتصال والتنسيق بين السلطات المختصة وكيانات الإنفاذ على الصعيد الوطني أثناء الأعمال التحضيرية لتلك العمليات وأثناء تنفيذها ومتابعتها؛</w:t>
      </w:r>
    </w:p>
    <w:p w14:paraId="7F888B72"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bCs/>
          <w:sz w:val="24"/>
          <w:szCs w:val="24"/>
        </w:rPr>
      </w:pPr>
      <w:r w:rsidRPr="00DE0F03">
        <w:rPr>
          <w:rFonts w:ascii="Simplified Arabic" w:hAnsi="Simplified Arabic" w:cs="Simplified Arabic"/>
          <w:bCs/>
          <w:sz w:val="24"/>
          <w:szCs w:val="24"/>
          <w:rtl/>
        </w:rPr>
        <w:t>الاتجار غير القانوني: الردود على السؤال 1 (ج) من نموذج الإبلاغ</w:t>
      </w:r>
    </w:p>
    <w:p w14:paraId="345A949E"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في سياق أنشطتها في مجال المساعدة التقنية، أن تكفل أن يكون الهدف من الدعم الذي تقدمه للأطراف أو الدعم الذي تقدمه جهات أخرى من خلال استخدام المساهمات المالية في الصندوق الاستئماني للتعاون التقني من أجل مساعدة البلدان النامية والبلدان الأخرى التي تحتاج إلى مساعدة تقنية، هو ضمان التنفيذ التشريعي الكامل للاتفاقية، ولا سيما المادة 9، بما في ذلك أي تعديلات على الاتفاقية، حسب الاقتضاء، مثل تلك التي أُدخلت على الاتفاقية بموجب المقرر ا ب-3/1 (التعديل المتعلق بالحظر) والمقرر ا ب-14/12 (التعديلات على المرفقات الثاني والثامن والتاسع لاتفاقية بازل، المعروفة باسم ”التعديلات المتعلقة بالنفايات البلاستيكية“) وأي تعديلات أخرى تُدخَل على مرفقات الاتفاقية؛</w:t>
      </w:r>
    </w:p>
    <w:p w14:paraId="12044326"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bCs/>
          <w:sz w:val="24"/>
          <w:szCs w:val="24"/>
        </w:rPr>
      </w:pPr>
      <w:r w:rsidRPr="00DE0F03">
        <w:rPr>
          <w:rFonts w:ascii="Simplified Arabic" w:hAnsi="Simplified Arabic" w:cs="Simplified Arabic"/>
          <w:bCs/>
          <w:sz w:val="24"/>
          <w:szCs w:val="24"/>
          <w:rtl/>
        </w:rPr>
        <w:t>الاتجار غير القانوني: الترتيبات التعاونية بما في ذلك الشبكة البيئية لترشيد الامتثال التنظيمي بشأن الاتجار غير القانوني</w:t>
      </w:r>
    </w:p>
    <w:p w14:paraId="4890C2CD"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يحبذ ويشجع</w:t>
      </w:r>
      <w:r w:rsidRPr="00DE0F03">
        <w:rPr>
          <w:rFonts w:ascii="Simplified Arabic" w:eastAsia="Times New Roman" w:hAnsi="Simplified Arabic" w:cs="Simplified Arabic"/>
          <w:sz w:val="24"/>
          <w:szCs w:val="24"/>
          <w:rtl/>
          <w:lang w:val="en-GB"/>
        </w:rPr>
        <w:t xml:space="preserve"> كذلك الجهود التي تبذلها منظمات من قبيل شبكة الاتحاد الأوروبي لتطبيق القانون البيئي وإنفاذه، والمنظمة الدولية للشرطة الجنائية، وبرنامج الأمم المتحدة للبيئة، ومنظمة الجمارك العالمية للتعاون مع الأمانة عند الاضطلاع بالأنشطة التي تدعم الأطراف في جهودها الرامية إلى منع الاتجار غير القانوني ومكافحته، ويطلب إلى الأمانة، حسب الاقتضاء، أن تعزز جهودها للتعاون مع كيانات مثل منظمة الأمن والتعاون في أوروبا ومكتب الأمم المتحدة المعني بالمخدرات والجريمة؛ </w:t>
      </w:r>
    </w:p>
    <w:p w14:paraId="748DFC93"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 xml:space="preserve">يكرر </w:t>
      </w:r>
      <w:r w:rsidRPr="00DE0F03">
        <w:rPr>
          <w:rFonts w:ascii="Simplified Arabic" w:eastAsia="Times New Roman" w:hAnsi="Simplified Arabic" w:cs="Simplified Arabic"/>
          <w:sz w:val="24"/>
          <w:szCs w:val="24"/>
          <w:rtl/>
          <w:lang w:val="en-GB"/>
        </w:rPr>
        <w:t>دعوته إلى المنظمة الدولية للشرطة الجنائية ومكتب الأمم المتحدة المعني بالمخدرات والجريمة لكي ينضما إلى عضوية الشبكة البيئية لترشيد الامتثال التنظيمي بشأن الاتجار غير القانوني؛</w:t>
      </w:r>
      <w:bookmarkStart w:id="10" w:name="_Toc38364155"/>
      <w:bookmarkStart w:id="11" w:name="_Toc38364303"/>
      <w:bookmarkEnd w:id="10"/>
      <w:bookmarkEnd w:id="11"/>
    </w:p>
    <w:p w14:paraId="061F85E6"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رهناً بتوافر الموارد، وسعياً إلى تحسين الدعم المقدم للعمليات المشتركة التي يضطلع بها أعضاء الشبكة البيئية مع سلطات الإنفاذ، ولا سيما سلطات الجمارك</w:t>
      </w:r>
      <w:r w:rsidRPr="00DE0F03">
        <w:rPr>
          <w:rFonts w:ascii="Simplified Arabic" w:eastAsia="Times New Roman" w:hAnsi="Simplified Arabic" w:cs="Simplified Arabic"/>
          <w:sz w:val="24"/>
          <w:szCs w:val="24"/>
          <w:lang w:val="en-GB"/>
        </w:rPr>
        <w:t>:</w:t>
      </w:r>
    </w:p>
    <w:p w14:paraId="02606AA7" w14:textId="77777777" w:rsidR="005F1505" w:rsidRPr="00EA4965" w:rsidRDefault="005F1505" w:rsidP="005F1505">
      <w:pPr>
        <w:pStyle w:val="Normal-pool"/>
        <w:numPr>
          <w:ilvl w:val="0"/>
          <w:numId w:val="35"/>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w w:val="96"/>
          <w:sz w:val="24"/>
          <w:szCs w:val="24"/>
          <w:lang w:val="ar-SA" w:eastAsia="zh-TW" w:bidi="en-GB"/>
        </w:rPr>
      </w:pPr>
      <w:proofErr w:type="spellStart"/>
      <w:r w:rsidRPr="00EA4965">
        <w:rPr>
          <w:rFonts w:ascii="Simplified Arabic" w:hAnsi="Simplified Arabic" w:cs="Simplified Arabic"/>
          <w:w w:val="96"/>
          <w:sz w:val="24"/>
          <w:szCs w:val="24"/>
        </w:rPr>
        <w:t>أن</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تيسر</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تنظيم</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عمليات</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التفتيش</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والإنفاذ</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المشتركة</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التي</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يقودها</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أعضاء</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الشبكة</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البيئية</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وأن</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تقوم</w:t>
      </w:r>
      <w:proofErr w:type="spellEnd"/>
      <w:r w:rsidRPr="00EA4965">
        <w:rPr>
          <w:rFonts w:ascii="Simplified Arabic" w:hAnsi="Simplified Arabic" w:cs="Simplified Arabic"/>
          <w:w w:val="96"/>
          <w:sz w:val="24"/>
          <w:szCs w:val="24"/>
        </w:rPr>
        <w:t xml:space="preserve"> </w:t>
      </w:r>
      <w:proofErr w:type="spellStart"/>
      <w:r w:rsidRPr="00EA4965">
        <w:rPr>
          <w:rFonts w:ascii="Simplified Arabic" w:hAnsi="Simplified Arabic" w:cs="Simplified Arabic"/>
          <w:w w:val="96"/>
          <w:sz w:val="24"/>
          <w:szCs w:val="24"/>
        </w:rPr>
        <w:t>بذلك</w:t>
      </w:r>
      <w:proofErr w:type="spellEnd"/>
      <w:r w:rsidRPr="00EA4965">
        <w:rPr>
          <w:rFonts w:ascii="Simplified Arabic" w:hAnsi="Simplified Arabic" w:cs="Simplified Arabic"/>
          <w:w w:val="96"/>
          <w:sz w:val="24"/>
          <w:szCs w:val="24"/>
        </w:rPr>
        <w:t>:</w:t>
      </w:r>
    </w:p>
    <w:p w14:paraId="47E82E95" w14:textId="77777777" w:rsidR="005F1505" w:rsidRPr="00DE0F03" w:rsidRDefault="005F1505" w:rsidP="005F1505">
      <w:pPr>
        <w:pStyle w:val="Normal-pool"/>
        <w:tabs>
          <w:tab w:val="clear" w:pos="1247"/>
          <w:tab w:val="clear" w:pos="1814"/>
          <w:tab w:val="clear" w:pos="2381"/>
          <w:tab w:val="clear" w:pos="2948"/>
          <w:tab w:val="clear" w:pos="3515"/>
          <w:tab w:val="left" w:pos="3260"/>
        </w:tabs>
        <w:spacing w:after="120" w:line="360" w:lineRule="exact"/>
        <w:ind w:left="3261" w:hanging="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hint="cs"/>
          <w:sz w:val="24"/>
          <w:szCs w:val="24"/>
        </w:rPr>
        <w:t>’1‘</w:t>
      </w:r>
      <w:r w:rsidRPr="00DE0F03">
        <w:rPr>
          <w:rFonts w:ascii="Simplified Arabic" w:hAnsi="Simplified Arabic" w:cs="Simplified Arabic"/>
          <w:sz w:val="24"/>
          <w:szCs w:val="24"/>
        </w:rPr>
        <w:tab/>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الوثيق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المنظمات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شبكة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الاتحاد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الأوروبي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لتطبيق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وإنفاذه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والمنظمة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للشرطة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الجنائية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ومنظمة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الجمارك</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العالمية</w:t>
      </w:r>
      <w:proofErr w:type="spellEnd"/>
      <w:r w:rsidRPr="00DE0F03">
        <w:rPr>
          <w:rFonts w:ascii="Simplified Arabic" w:hAnsi="Simplified Arabic" w:cs="Simplified Arabic"/>
          <w:sz w:val="24"/>
          <w:szCs w:val="24"/>
        </w:rPr>
        <w:t>؛</w:t>
      </w:r>
      <w:proofErr w:type="gramEnd"/>
      <w:r w:rsidRPr="00DE0F03">
        <w:rPr>
          <w:rFonts w:ascii="Simplified Arabic" w:hAnsi="Simplified Arabic" w:cs="Simplified Arabic"/>
          <w:sz w:val="24"/>
          <w:szCs w:val="24"/>
        </w:rPr>
        <w:t xml:space="preserve"> </w:t>
      </w:r>
    </w:p>
    <w:p w14:paraId="314FE086" w14:textId="77777777" w:rsidR="005F1505" w:rsidRPr="00DE0F03" w:rsidRDefault="005F1505" w:rsidP="005F1505">
      <w:pPr>
        <w:pStyle w:val="Normal-pool"/>
        <w:tabs>
          <w:tab w:val="clear" w:pos="1247"/>
          <w:tab w:val="clear" w:pos="1814"/>
          <w:tab w:val="clear" w:pos="2381"/>
          <w:tab w:val="clear" w:pos="2948"/>
          <w:tab w:val="clear" w:pos="3515"/>
          <w:tab w:val="left" w:pos="3260"/>
        </w:tabs>
        <w:spacing w:after="120" w:line="360" w:lineRule="exact"/>
        <w:ind w:left="3261" w:hanging="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hint="cs"/>
          <w:sz w:val="24"/>
          <w:szCs w:val="24"/>
        </w:rPr>
        <w:t>’2‘</w:t>
      </w:r>
      <w:r w:rsidRPr="00DE0F03">
        <w:rPr>
          <w:rFonts w:ascii="Simplified Arabic" w:hAnsi="Simplified Arabic" w:cs="Simplified Arabic"/>
          <w:sz w:val="24"/>
          <w:szCs w:val="24"/>
        </w:rPr>
        <w:tab/>
      </w:r>
      <w:proofErr w:type="spellStart"/>
      <w:r w:rsidRPr="00DE0F03">
        <w:rPr>
          <w:rFonts w:ascii="Simplified Arabic" w:hAnsi="Simplified Arabic" w:cs="Simplified Arabic"/>
          <w:sz w:val="24"/>
          <w:szCs w:val="24"/>
        </w:rPr>
        <w:t>بمشاركة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جميع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السلطات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هيئات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التفتيش</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والشرطة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وسلطات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الجمارك</w:t>
      </w:r>
      <w:proofErr w:type="spellEnd"/>
      <w:r w:rsidRPr="00DE0F03">
        <w:rPr>
          <w:rFonts w:ascii="Simplified Arabic" w:hAnsi="Simplified Arabic" w:cs="Simplified Arabic"/>
          <w:sz w:val="24"/>
          <w:szCs w:val="24"/>
        </w:rPr>
        <w:t>؛</w:t>
      </w:r>
      <w:proofErr w:type="gramEnd"/>
      <w:r w:rsidRPr="00DE0F03">
        <w:rPr>
          <w:rFonts w:ascii="Simplified Arabic" w:hAnsi="Simplified Arabic" w:cs="Simplified Arabic"/>
          <w:sz w:val="24"/>
          <w:szCs w:val="24"/>
        </w:rPr>
        <w:t xml:space="preserve"> </w:t>
      </w:r>
    </w:p>
    <w:p w14:paraId="60654FB7" w14:textId="77777777" w:rsidR="005F1505" w:rsidRPr="00DE0F03" w:rsidRDefault="005F1505" w:rsidP="005F1505">
      <w:pPr>
        <w:pStyle w:val="Normal-pool"/>
        <w:tabs>
          <w:tab w:val="clear" w:pos="1247"/>
          <w:tab w:val="clear" w:pos="1814"/>
          <w:tab w:val="clear" w:pos="2381"/>
          <w:tab w:val="clear" w:pos="2948"/>
          <w:tab w:val="clear" w:pos="3515"/>
          <w:tab w:val="left" w:pos="3260"/>
        </w:tabs>
        <w:spacing w:after="120" w:line="360" w:lineRule="exact"/>
        <w:ind w:left="3261" w:hanging="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hint="cs"/>
          <w:sz w:val="24"/>
          <w:szCs w:val="24"/>
        </w:rPr>
        <w:lastRenderedPageBreak/>
        <w:t>’3‘</w:t>
      </w:r>
      <w:r w:rsidRPr="00DE0F03">
        <w:rPr>
          <w:rFonts w:ascii="Simplified Arabic" w:hAnsi="Simplified Arabic" w:cs="Simplified Arabic"/>
          <w:sz w:val="24"/>
          <w:szCs w:val="24"/>
        </w:rPr>
        <w:tab/>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التركيز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الاقتضاء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مسارات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معينة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مثل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والنفايات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الإلكترونية</w:t>
      </w:r>
      <w:proofErr w:type="spellEnd"/>
      <w:r w:rsidRPr="00DE0F03">
        <w:rPr>
          <w:rFonts w:ascii="Simplified Arabic" w:hAnsi="Simplified Arabic" w:cs="Simplified Arabic"/>
          <w:sz w:val="24"/>
          <w:szCs w:val="24"/>
        </w:rPr>
        <w:t>)؛</w:t>
      </w:r>
      <w:proofErr w:type="gramEnd"/>
      <w:r w:rsidRPr="00DE0F03">
        <w:rPr>
          <w:rFonts w:ascii="Simplified Arabic" w:hAnsi="Simplified Arabic" w:cs="Simplified Arabic"/>
          <w:sz w:val="24"/>
          <w:szCs w:val="24"/>
        </w:rPr>
        <w:t xml:space="preserve"> </w:t>
      </w:r>
    </w:p>
    <w:p w14:paraId="29B013EC" w14:textId="77777777" w:rsidR="005F1505" w:rsidRPr="00DE0F03" w:rsidRDefault="005F1505" w:rsidP="005F1505">
      <w:pPr>
        <w:pStyle w:val="Normal-pool"/>
        <w:numPr>
          <w:ilvl w:val="0"/>
          <w:numId w:val="35"/>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تساعد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إعداد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التفتيش</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والإنفاذ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المشتركة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طريق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التدريب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أعضاء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للسلطات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هيئات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التفتيش</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والشرطة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وسلطات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الجمارك</w:t>
      </w:r>
      <w:proofErr w:type="spellEnd"/>
      <w:r w:rsidRPr="00DE0F03">
        <w:rPr>
          <w:rFonts w:ascii="Simplified Arabic" w:hAnsi="Simplified Arabic" w:cs="Simplified Arabic"/>
          <w:sz w:val="24"/>
          <w:szCs w:val="24"/>
        </w:rPr>
        <w:t>؛</w:t>
      </w:r>
      <w:proofErr w:type="gramEnd"/>
    </w:p>
    <w:p w14:paraId="62F9028C" w14:textId="77777777" w:rsidR="005F1505" w:rsidRPr="00DE0F03" w:rsidRDefault="005F1505" w:rsidP="005F1505">
      <w:pPr>
        <w:pStyle w:val="Normal-pool"/>
        <w:numPr>
          <w:ilvl w:val="0"/>
          <w:numId w:val="35"/>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تتابع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بجلسات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تتناول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الدروس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المستفادة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بالتخطيط</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والأساليب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المستخدمة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وكيفية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تطوير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وتحسين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هياكل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الإنفاذ</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القائمة</w:t>
      </w:r>
      <w:proofErr w:type="spellEnd"/>
      <w:r w:rsidRPr="00DE0F03">
        <w:rPr>
          <w:rFonts w:ascii="Simplified Arabic" w:hAnsi="Simplified Arabic" w:cs="Simplified Arabic"/>
          <w:sz w:val="24"/>
          <w:szCs w:val="24"/>
        </w:rPr>
        <w:t>؛</w:t>
      </w:r>
      <w:proofErr w:type="gramEnd"/>
    </w:p>
    <w:p w14:paraId="05E3AF72"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تبلغ المنظمات الدولية المعنية بالقرارات المتعلقة بمنع الاتجار غير القانوني ومكافحته، وتدعو تلك المنظمات إلى أن تأخذ تلك القرارات في الاعتبار في عملياتها؛</w:t>
      </w:r>
    </w:p>
    <w:p w14:paraId="0ACE6230"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hint="cs"/>
          <w:i/>
          <w:iCs/>
          <w:sz w:val="24"/>
          <w:szCs w:val="24"/>
          <w:rtl/>
          <w:lang w:val="en-GB"/>
        </w:rPr>
        <w:t xml:space="preserve"> أيضاً</w:t>
      </w:r>
      <w:r w:rsidRPr="00DE0F03">
        <w:rPr>
          <w:rFonts w:ascii="Simplified Arabic" w:eastAsia="Times New Roman" w:hAnsi="Simplified Arabic" w:cs="Simplified Arabic"/>
          <w:sz w:val="24"/>
          <w:szCs w:val="24"/>
          <w:rtl/>
          <w:lang w:val="en-GB"/>
        </w:rPr>
        <w:t xml:space="preserve"> إلى الأمانة أن تواصل، رهناً بتوافر الموارد، تيسير عمل الشبكة البيئية وتوفير الخبرة لها وتنظيم اجتماعات سنوية للشبكة؛ </w:t>
      </w:r>
    </w:p>
    <w:p w14:paraId="2A9980A3"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 xml:space="preserve">يطلب </w:t>
      </w:r>
      <w:r w:rsidRPr="00DE0F03">
        <w:rPr>
          <w:rFonts w:ascii="Simplified Arabic" w:eastAsia="Times New Roman" w:hAnsi="Simplified Arabic" w:cs="Simplified Arabic" w:hint="cs"/>
          <w:i/>
          <w:iCs/>
          <w:sz w:val="24"/>
          <w:szCs w:val="24"/>
          <w:rtl/>
          <w:lang w:val="en-GB"/>
        </w:rPr>
        <w:t>كذلك</w:t>
      </w:r>
      <w:r w:rsidRPr="00DE0F03">
        <w:rPr>
          <w:rFonts w:ascii="Simplified Arabic" w:eastAsia="Times New Roman" w:hAnsi="Simplified Arabic" w:cs="Simplified Arabic"/>
          <w:sz w:val="24"/>
          <w:szCs w:val="24"/>
          <w:rtl/>
          <w:lang w:val="en-GB"/>
        </w:rPr>
        <w:t xml:space="preserve"> إلى الأمانة، سعياً إلى دعم استضافة وتنظيم حلقات العمل أو الدورات التدريبية والإعلامية عبر الإنترنت أو افتراضياً، ولا سيما للبلدان النامية، وعملاً بالفقرة 4 من اختصاصات الشبكة البيئية، أن تنظم، رهناً بتوافر الموارد، حلقات عمل مشتركة يشارك فيها أعضاء الشبكة البيئية من أجل تدريب السلطات المختصة وسلطات الإنفاذ التي تتعامل مع الاتجار غير القانوني؛</w:t>
      </w:r>
    </w:p>
    <w:p w14:paraId="5DE8C5B4"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يسعى</w:t>
      </w:r>
      <w:r w:rsidRPr="00DE0F03">
        <w:rPr>
          <w:rFonts w:ascii="Simplified Arabic" w:eastAsia="Times New Roman" w:hAnsi="Simplified Arabic" w:cs="Simplified Arabic"/>
          <w:sz w:val="24"/>
          <w:szCs w:val="24"/>
          <w:rtl/>
          <w:lang w:val="en-GB"/>
        </w:rPr>
        <w:t xml:space="preserve"> إلى تحسين نشر المعلومات من الشبكة البيئية، عملاً بالفقرة 4 من اختصاصات الشبكة البيئية، وذلك:</w:t>
      </w:r>
    </w:p>
    <w:p w14:paraId="45F57816" w14:textId="77777777" w:rsidR="005F1505" w:rsidRPr="00DE0F03" w:rsidRDefault="005F1505" w:rsidP="005F1505">
      <w:pPr>
        <w:pStyle w:val="Normal-pool"/>
        <w:numPr>
          <w:ilvl w:val="0"/>
          <w:numId w:val="36"/>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طريق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تشجيع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أعضاء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إتاحة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أمثلة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لأفضل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الممارسات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تفتيش</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الشحنات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يُشتبه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قانونية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وإنفاذ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التشريعات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الشحنات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تخطيط</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وإجراء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التفتيش</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كيفية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السلطات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الشحنات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الأمثلة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الموقع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الشبكي</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للاتفاقية</w:t>
      </w:r>
      <w:proofErr w:type="spellEnd"/>
      <w:r w:rsidRPr="00DE0F03">
        <w:rPr>
          <w:rFonts w:ascii="Simplified Arabic" w:hAnsi="Simplified Arabic" w:cs="Simplified Arabic"/>
          <w:sz w:val="24"/>
          <w:szCs w:val="24"/>
        </w:rPr>
        <w:t>؛</w:t>
      </w:r>
      <w:proofErr w:type="gramEnd"/>
    </w:p>
    <w:p w14:paraId="750CBAD5" w14:textId="77777777" w:rsidR="005F1505" w:rsidRPr="00DE0F03" w:rsidRDefault="005F1505" w:rsidP="005F1505">
      <w:pPr>
        <w:pStyle w:val="Normal-pool"/>
        <w:numPr>
          <w:ilvl w:val="0"/>
          <w:numId w:val="36"/>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طريق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تشكل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شبكة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الخبرات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أعضاء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إنفاذ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مثلاً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الموقع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لإنشاء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منصة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اتصالات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يمكن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تستخدمها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صاحبة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المصلحة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للاتصال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بأعضاء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النصائح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وأفضل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الممارسات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وطرح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الأسئلة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وتقديم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الدعم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المتبادل</w:t>
      </w:r>
      <w:proofErr w:type="spellEnd"/>
      <w:r w:rsidRPr="00DE0F03">
        <w:rPr>
          <w:rFonts w:ascii="Simplified Arabic" w:hAnsi="Simplified Arabic" w:cs="Simplified Arabic"/>
          <w:sz w:val="24"/>
          <w:szCs w:val="24"/>
        </w:rPr>
        <w:t>؛</w:t>
      </w:r>
      <w:proofErr w:type="gramEnd"/>
      <w:r w:rsidRPr="00DE0F03">
        <w:rPr>
          <w:rFonts w:ascii="Simplified Arabic" w:hAnsi="Simplified Arabic" w:cs="Simplified Arabic"/>
          <w:sz w:val="24"/>
          <w:szCs w:val="24"/>
        </w:rPr>
        <w:t xml:space="preserve"> </w:t>
      </w:r>
    </w:p>
    <w:p w14:paraId="04686B3A"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12" w:name="_Toc38364160"/>
      <w:bookmarkStart w:id="13" w:name="_Toc38364308"/>
      <w:bookmarkStart w:id="14" w:name="_Toc38364162"/>
      <w:bookmarkStart w:id="15" w:name="_Toc38364310"/>
      <w:bookmarkEnd w:id="12"/>
      <w:bookmarkEnd w:id="13"/>
      <w:bookmarkEnd w:id="14"/>
      <w:bookmarkEnd w:id="15"/>
      <w:r w:rsidRPr="00DE0F03">
        <w:rPr>
          <w:rFonts w:ascii="Simplified Arabic" w:eastAsia="Times New Roman" w:hAnsi="Simplified Arabic" w:cs="Simplified Arabic"/>
          <w:i/>
          <w:iCs/>
          <w:sz w:val="24"/>
          <w:szCs w:val="24"/>
          <w:rtl/>
          <w:lang w:val="en-GB"/>
        </w:rPr>
        <w:t>يقرر</w:t>
      </w:r>
      <w:r w:rsidRPr="00EA4965">
        <w:rPr>
          <w:rFonts w:ascii="Simplified Arabic" w:eastAsia="Times New Roman" w:hAnsi="Simplified Arabic" w:cs="Simplified Arabic"/>
          <w:i/>
          <w:iCs/>
          <w:sz w:val="24"/>
          <w:szCs w:val="24"/>
          <w:rtl/>
          <w:lang w:val="en-GB"/>
        </w:rPr>
        <w:t>،</w:t>
      </w:r>
      <w:r w:rsidRPr="00DE0F03">
        <w:rPr>
          <w:rFonts w:ascii="Simplified Arabic" w:eastAsia="Times New Roman" w:hAnsi="Simplified Arabic" w:cs="Simplified Arabic"/>
          <w:sz w:val="24"/>
          <w:szCs w:val="24"/>
          <w:rtl/>
          <w:lang w:val="en-GB"/>
        </w:rPr>
        <w:t xml:space="preserve"> سعياً إلى كفالة استدامة الجهود التي تبذلها الشبكة البيئية، وعملاً بالفقرة 4 من اختصاصات الشبكة البيئية، أن برنامج عمل وميزانية اتفاقية بازل لفترة السنتين 2022–2023 سيخصصان تمويلاً منفصلاً لأنشطة الشبكة البيئية، بما في ذلك أنشطتها التنفيذية، واستخدامها للموقع الشبكي للاتفاقية لنشر المعلومات وأنشطتها التدريبية؛</w:t>
      </w:r>
      <w:bookmarkStart w:id="16" w:name="_Toc38364164"/>
      <w:bookmarkStart w:id="17" w:name="_Toc38364312"/>
      <w:bookmarkEnd w:id="16"/>
      <w:bookmarkEnd w:id="17"/>
    </w:p>
    <w:p w14:paraId="34E64EA3"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يقرر أيضاً</w:t>
      </w:r>
      <w:r w:rsidRPr="00EA4965">
        <w:rPr>
          <w:rFonts w:ascii="Simplified Arabic" w:eastAsia="Times New Roman" w:hAnsi="Simplified Arabic" w:cs="Simplified Arabic"/>
          <w:i/>
          <w:iCs/>
          <w:sz w:val="24"/>
          <w:szCs w:val="24"/>
          <w:rtl/>
          <w:lang w:val="en-GB"/>
        </w:rPr>
        <w:t>،</w:t>
      </w:r>
      <w:r w:rsidRPr="00DE0F03">
        <w:rPr>
          <w:rFonts w:ascii="Simplified Arabic" w:eastAsia="Times New Roman" w:hAnsi="Simplified Arabic" w:cs="Simplified Arabic"/>
          <w:sz w:val="24"/>
          <w:szCs w:val="24"/>
          <w:rtl/>
          <w:lang w:val="en-GB"/>
        </w:rPr>
        <w:t xml:space="preserve"> بهدف مواءمة فترة خدمة الرئيس ونائب الرئيس للشبكة البيئية مع فترة عضويتهما، أن يعدل الفقرتين 18 و19 من اختصاصات الشبكة البيئية بحذف النص المشطوب أدناه وإضافة النص الذي وُضِع تحته خط:</w:t>
      </w:r>
    </w:p>
    <w:p w14:paraId="02639065" w14:textId="77777777" w:rsidR="005F1505" w:rsidRPr="00DE0F03" w:rsidRDefault="005F1505" w:rsidP="005F1505">
      <w:pPr>
        <w:pStyle w:val="NormalNonumber"/>
        <w:tabs>
          <w:tab w:val="clear" w:pos="1247"/>
          <w:tab w:val="clear" w:pos="1814"/>
          <w:tab w:val="clear" w:pos="2381"/>
          <w:tab w:val="clear" w:pos="2948"/>
          <w:tab w:val="clear" w:pos="3515"/>
          <w:tab w:val="clear" w:pos="4082"/>
          <w:tab w:val="left" w:pos="2552"/>
        </w:tabs>
        <w:bidi/>
        <w:spacing w:line="360" w:lineRule="exact"/>
        <w:ind w:left="2552" w:hanging="709"/>
        <w:jc w:val="both"/>
        <w:textDirection w:val="tbRlV"/>
        <w:rPr>
          <w:rFonts w:ascii="Simplified Arabic" w:hAnsi="Simplified Arabic" w:cs="Simplified Arabic"/>
          <w:sz w:val="24"/>
          <w:szCs w:val="24"/>
          <w:lang w:val="ar-SA" w:eastAsia="zh-TW" w:bidi="en-GB"/>
        </w:rPr>
      </w:pPr>
      <w:bookmarkStart w:id="18" w:name="_Toc38364166"/>
      <w:bookmarkStart w:id="19" w:name="_Toc38364314"/>
      <w:bookmarkStart w:id="20" w:name="_Toc38364167"/>
      <w:bookmarkStart w:id="21" w:name="_Toc38364315"/>
      <w:bookmarkEnd w:id="18"/>
      <w:bookmarkEnd w:id="19"/>
      <w:bookmarkEnd w:id="20"/>
      <w:bookmarkEnd w:id="21"/>
      <w:r w:rsidRPr="00DE0F03">
        <w:rPr>
          <w:rFonts w:ascii="Simplified Arabic" w:hAnsi="Simplified Arabic" w:cs="Simplified Arabic" w:hint="cs"/>
          <w:sz w:val="24"/>
          <w:szCs w:val="24"/>
          <w:rtl/>
        </w:rPr>
        <w:lastRenderedPageBreak/>
        <w:t>”</w:t>
      </w:r>
      <w:r w:rsidRPr="00DE0F03">
        <w:rPr>
          <w:rFonts w:ascii="Simplified Arabic" w:hAnsi="Simplified Arabic" w:cs="Simplified Arabic"/>
          <w:sz w:val="24"/>
          <w:szCs w:val="24"/>
          <w:rtl/>
        </w:rPr>
        <w:t>18-</w:t>
      </w:r>
      <w:r w:rsidRPr="00DE0F03">
        <w:rPr>
          <w:rFonts w:ascii="Simplified Arabic" w:hAnsi="Simplified Arabic" w:cs="Simplified Arabic"/>
          <w:sz w:val="24"/>
          <w:szCs w:val="24"/>
          <w:rtl/>
        </w:rPr>
        <w:tab/>
      </w:r>
      <w:r w:rsidRPr="00DE0F03">
        <w:rPr>
          <w:rFonts w:ascii="Simplified Arabic" w:hAnsi="Simplified Arabic" w:cs="Simplified Arabic"/>
          <w:sz w:val="24"/>
          <w:szCs w:val="24"/>
          <w:u w:val="single"/>
          <w:rtl/>
        </w:rPr>
        <w:t>في أقرب وقت ممكن عقب كل اجتماع لمؤتمر الأطراف</w:t>
      </w:r>
      <w:r w:rsidRPr="00DE0F03">
        <w:rPr>
          <w:rFonts w:ascii="Simplified Arabic" w:hAnsi="Simplified Arabic" w:cs="Simplified Arabic"/>
          <w:sz w:val="24"/>
          <w:szCs w:val="24"/>
          <w:rtl/>
        </w:rPr>
        <w:t xml:space="preserve">، </w:t>
      </w:r>
      <w:r w:rsidRPr="00DE0F03">
        <w:rPr>
          <w:rFonts w:ascii="Simplified Arabic" w:hAnsi="Simplified Arabic" w:cs="Simplified Arabic"/>
          <w:strike/>
          <w:sz w:val="24"/>
          <w:szCs w:val="24"/>
          <w:rtl/>
        </w:rPr>
        <w:t>في كل اجتماع</w:t>
      </w:r>
      <w:r w:rsidRPr="00DE0F03">
        <w:rPr>
          <w:rFonts w:ascii="Simplified Arabic" w:hAnsi="Simplified Arabic" w:cs="Simplified Arabic"/>
          <w:sz w:val="24"/>
          <w:szCs w:val="24"/>
          <w:rtl/>
        </w:rPr>
        <w:t xml:space="preserve">، ينتخب أعضاء الشبكة البيئية رئيساً ونائباً للرئيس </w:t>
      </w:r>
      <w:r w:rsidRPr="00DE0F03">
        <w:rPr>
          <w:rFonts w:ascii="Simplified Arabic" w:hAnsi="Simplified Arabic" w:cs="Simplified Arabic"/>
          <w:strike/>
          <w:sz w:val="24"/>
          <w:szCs w:val="24"/>
          <w:rtl/>
        </w:rPr>
        <w:t>من بين ممثلي الأعضاء الحاضرين في الاجتماع</w:t>
      </w:r>
      <w:r w:rsidRPr="00DE0F03">
        <w:rPr>
          <w:rFonts w:ascii="Simplified Arabic" w:hAnsi="Simplified Arabic" w:cs="Simplified Arabic"/>
          <w:sz w:val="24"/>
          <w:szCs w:val="24"/>
          <w:rtl/>
        </w:rPr>
        <w:t xml:space="preserve">. </w:t>
      </w:r>
      <w:r w:rsidRPr="00A2795F">
        <w:rPr>
          <w:rFonts w:ascii="Simplified Arabic" w:hAnsi="Simplified Arabic" w:cs="Simplified Arabic"/>
          <w:sz w:val="24"/>
          <w:szCs w:val="24"/>
          <w:rtl/>
        </w:rPr>
        <w:t>وسيكون</w:t>
      </w:r>
      <w:r w:rsidRPr="00DE0F03">
        <w:rPr>
          <w:rFonts w:ascii="Simplified Arabic" w:hAnsi="Simplified Arabic" w:cs="Simplified Arabic"/>
          <w:strike/>
          <w:sz w:val="24"/>
          <w:szCs w:val="24"/>
          <w:rtl/>
        </w:rPr>
        <w:t xml:space="preserve"> </w:t>
      </w:r>
      <w:r w:rsidRPr="00DE0F03">
        <w:rPr>
          <w:rFonts w:ascii="Simplified Arabic" w:hAnsi="Simplified Arabic" w:cs="Simplified Arabic"/>
          <w:sz w:val="24"/>
          <w:szCs w:val="24"/>
          <w:rtl/>
        </w:rPr>
        <w:t xml:space="preserve">الانتخاب </w:t>
      </w:r>
      <w:r w:rsidRPr="00DE0F03">
        <w:rPr>
          <w:rFonts w:ascii="Simplified Arabic" w:hAnsi="Simplified Arabic" w:cs="Simplified Arabic"/>
          <w:strike/>
          <w:sz w:val="24"/>
          <w:szCs w:val="24"/>
          <w:rtl/>
        </w:rPr>
        <w:t>قائماً</w:t>
      </w:r>
      <w:r w:rsidRPr="00DE0F03">
        <w:rPr>
          <w:rFonts w:ascii="Simplified Arabic" w:hAnsi="Simplified Arabic" w:cs="Simplified Arabic"/>
          <w:sz w:val="24"/>
          <w:szCs w:val="24"/>
          <w:rtl/>
        </w:rPr>
        <w:t xml:space="preserve">، قدر الإمكان، بطريقة تكفل التناوب بين أعضاء الشبكة البيئية. </w:t>
      </w:r>
    </w:p>
    <w:p w14:paraId="40A7299D" w14:textId="77777777" w:rsidR="005F1505" w:rsidRPr="00DE0F03" w:rsidRDefault="005F1505" w:rsidP="005F1505">
      <w:pPr>
        <w:pStyle w:val="NormalNonumber"/>
        <w:tabs>
          <w:tab w:val="clear" w:pos="1247"/>
          <w:tab w:val="clear" w:pos="1814"/>
          <w:tab w:val="clear" w:pos="2381"/>
          <w:tab w:val="clear" w:pos="2948"/>
          <w:tab w:val="clear" w:pos="3515"/>
          <w:tab w:val="clear" w:pos="4082"/>
          <w:tab w:val="left" w:pos="2552"/>
        </w:tabs>
        <w:bidi/>
        <w:spacing w:line="360" w:lineRule="exact"/>
        <w:ind w:left="2552" w:hanging="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u w:val="single"/>
          <w:rtl/>
        </w:rPr>
        <w:t>19</w:t>
      </w:r>
      <w:r w:rsidRPr="00DE0F03">
        <w:rPr>
          <w:rFonts w:ascii="Simplified Arabic" w:hAnsi="Simplified Arabic" w:cs="Simplified Arabic"/>
          <w:sz w:val="24"/>
          <w:szCs w:val="24"/>
        </w:rPr>
        <w:t>-</w:t>
      </w:r>
      <w:r w:rsidRPr="00DE0F03">
        <w:rPr>
          <w:rFonts w:ascii="Simplified Arabic" w:hAnsi="Simplified Arabic" w:cs="Simplified Arabic"/>
          <w:sz w:val="24"/>
          <w:szCs w:val="24"/>
          <w:rtl/>
        </w:rPr>
        <w:tab/>
      </w:r>
      <w:r w:rsidRPr="00A2795F">
        <w:rPr>
          <w:rFonts w:ascii="Simplified Arabic" w:hAnsi="Simplified Arabic" w:cs="Simplified Arabic"/>
          <w:strike/>
          <w:sz w:val="24"/>
          <w:szCs w:val="24"/>
          <w:rtl/>
        </w:rPr>
        <w:t>وفي الاجتماع الأول لـلشبكة البيئية، سيجري انتخاب رئيس ونائب للرئيس</w:t>
      </w:r>
      <w:r w:rsidRPr="00DE0F03">
        <w:rPr>
          <w:rFonts w:ascii="Simplified Arabic" w:hAnsi="Simplified Arabic" w:cs="Simplified Arabic"/>
          <w:sz w:val="24"/>
          <w:szCs w:val="24"/>
          <w:rtl/>
        </w:rPr>
        <w:t xml:space="preserve">. وسيظل الرئيس ونائب الرئيس في منصبَيهما إلى حين اختتام </w:t>
      </w:r>
      <w:r w:rsidRPr="00A2795F">
        <w:rPr>
          <w:rFonts w:ascii="Simplified Arabic" w:hAnsi="Simplified Arabic" w:cs="Simplified Arabic"/>
          <w:strike/>
          <w:sz w:val="24"/>
          <w:szCs w:val="24"/>
          <w:rtl/>
        </w:rPr>
        <w:t>أول اجتماع لـلشبكة البيئية يلي</w:t>
      </w:r>
      <w:r w:rsidRPr="00DE0F03">
        <w:rPr>
          <w:rFonts w:ascii="Simplified Arabic" w:hAnsi="Simplified Arabic" w:cs="Simplified Arabic"/>
          <w:sz w:val="24"/>
          <w:szCs w:val="24"/>
          <w:rtl/>
        </w:rPr>
        <w:t xml:space="preserve"> الاجتماع اللاحق </w:t>
      </w:r>
      <w:r w:rsidRPr="00A2795F">
        <w:rPr>
          <w:rFonts w:ascii="Simplified Arabic" w:hAnsi="Simplified Arabic" w:cs="Simplified Arabic"/>
          <w:sz w:val="24"/>
          <w:szCs w:val="24"/>
          <w:rtl/>
        </w:rPr>
        <w:t>لمؤتمر</w:t>
      </w:r>
      <w:r w:rsidRPr="00DE0F03">
        <w:rPr>
          <w:rFonts w:ascii="Simplified Arabic" w:hAnsi="Simplified Arabic" w:cs="Simplified Arabic"/>
          <w:strike/>
          <w:sz w:val="24"/>
          <w:szCs w:val="24"/>
          <w:rtl/>
        </w:rPr>
        <w:t xml:space="preserve"> </w:t>
      </w:r>
      <w:r>
        <w:rPr>
          <w:rFonts w:ascii="Simplified Arabic" w:hAnsi="Simplified Arabic" w:cs="Simplified Arabic" w:hint="cs"/>
          <w:sz w:val="24"/>
          <w:szCs w:val="24"/>
          <w:rtl/>
        </w:rPr>
        <w:t>ا</w:t>
      </w:r>
      <w:r w:rsidRPr="00DE0F03">
        <w:rPr>
          <w:rFonts w:ascii="Simplified Arabic" w:hAnsi="Simplified Arabic" w:cs="Simplified Arabic"/>
          <w:sz w:val="24"/>
          <w:szCs w:val="24"/>
          <w:rtl/>
        </w:rPr>
        <w:t xml:space="preserve">لأطراف. </w:t>
      </w:r>
      <w:r w:rsidRPr="00A2795F">
        <w:rPr>
          <w:rFonts w:ascii="Simplified Arabic" w:hAnsi="Simplified Arabic" w:cs="Simplified Arabic"/>
          <w:strike/>
          <w:sz w:val="24"/>
          <w:szCs w:val="24"/>
          <w:rtl/>
        </w:rPr>
        <w:t>ويبدأ الرئيس ونائب الرئيس اللاحقان فترة ولايتهما عند اختتام الاجتماع الذي يُنتخبان فيه، وسيعملان كرئيس ونائب للرئيس حتى اختتام أول اجتماع للشبكة البيئية يلي الاجتماع اللاحق لمؤتمر الأطراف</w:t>
      </w:r>
      <w:r w:rsidRPr="00DE0F03">
        <w:rPr>
          <w:rFonts w:ascii="Simplified Arabic" w:hAnsi="Simplified Arabic" w:cs="Simplified Arabic"/>
          <w:sz w:val="24"/>
          <w:szCs w:val="24"/>
          <w:rtl/>
        </w:rPr>
        <w:t>“.</w:t>
      </w:r>
    </w:p>
    <w:p w14:paraId="67F44B58"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يقرر كذلك</w:t>
      </w:r>
      <w:r w:rsidRPr="00DE0F03">
        <w:rPr>
          <w:rFonts w:ascii="Simplified Arabic" w:eastAsia="Times New Roman" w:hAnsi="Simplified Arabic" w:cs="Simplified Arabic"/>
          <w:sz w:val="24"/>
          <w:szCs w:val="24"/>
          <w:rtl/>
          <w:lang w:val="en-GB"/>
        </w:rPr>
        <w:t>، بغية التخفيف من المخاطر المرتبطة بعملية التداول الحالية للعضوية والتمثيل في الشبكة البيئية، التي تهدد الاستمرارية والاتساق في نهج الشبكة البيئية، والاحتفاظ بالمعارف والممارسات التي تحتاجها إذا ما أُريد لها أن تصبح أكثر طموحاً في نطاق أنشطتها، أن يعدل الفقرتين 9 و10 من اختصاصات الشبكة البيئية بحذف النص الذي شُطب أدناه وإضافة النص الذي وُضِع تحته خط، على النحو التالي</w:t>
      </w:r>
      <w:r w:rsidRPr="00DE0F03">
        <w:rPr>
          <w:rFonts w:ascii="Simplified Arabic" w:eastAsia="Times New Roman" w:hAnsi="Simplified Arabic" w:cs="Simplified Arabic"/>
          <w:sz w:val="24"/>
          <w:szCs w:val="24"/>
          <w:lang w:val="en-GB"/>
        </w:rPr>
        <w:t>:</w:t>
      </w:r>
      <w:r w:rsidRPr="00DE0F03">
        <w:rPr>
          <w:rFonts w:ascii="Simplified Arabic" w:eastAsia="Times New Roman" w:hAnsi="Simplified Arabic" w:cs="Simplified Arabic"/>
          <w:sz w:val="24"/>
          <w:szCs w:val="24"/>
          <w:rtl/>
          <w:lang w:val="en-GB"/>
        </w:rPr>
        <w:t xml:space="preserve"> </w:t>
      </w:r>
    </w:p>
    <w:p w14:paraId="21FB619C" w14:textId="77777777" w:rsidR="005F1505" w:rsidRPr="00DE0F03" w:rsidRDefault="005F1505" w:rsidP="005F1505">
      <w:pPr>
        <w:pStyle w:val="NormalNonumber"/>
        <w:tabs>
          <w:tab w:val="clear" w:pos="1247"/>
          <w:tab w:val="clear" w:pos="1814"/>
          <w:tab w:val="clear" w:pos="2381"/>
          <w:tab w:val="clear" w:pos="2948"/>
          <w:tab w:val="clear" w:pos="3515"/>
          <w:tab w:val="clear" w:pos="4082"/>
          <w:tab w:val="left" w:pos="2552"/>
        </w:tabs>
        <w:bidi/>
        <w:spacing w:line="360" w:lineRule="exact"/>
        <w:ind w:left="2552" w:hanging="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rPr>
        <w:t>”</w:t>
      </w:r>
      <w:r w:rsidRPr="00DE0F03">
        <w:rPr>
          <w:rFonts w:ascii="Simplified Arabic" w:hAnsi="Simplified Arabic" w:cs="Simplified Arabic"/>
          <w:sz w:val="24"/>
          <w:szCs w:val="24"/>
          <w:rtl/>
        </w:rPr>
        <w:t>9-</w:t>
      </w:r>
      <w:r w:rsidRPr="00DE0F03">
        <w:rPr>
          <w:rFonts w:ascii="Simplified Arabic" w:hAnsi="Simplified Arabic" w:cs="Simplified Arabic"/>
          <w:sz w:val="24"/>
          <w:szCs w:val="24"/>
          <w:rtl/>
        </w:rPr>
        <w:tab/>
      </w:r>
      <w:r w:rsidRPr="00A2795F">
        <w:rPr>
          <w:rFonts w:ascii="Simplified Arabic" w:hAnsi="Simplified Arabic" w:cs="Simplified Arabic"/>
          <w:sz w:val="24"/>
          <w:szCs w:val="24"/>
          <w:u w:val="single"/>
          <w:rtl/>
        </w:rPr>
        <w:t>ينتخب مؤتمر الأطراف في اجتماعه الخامس عشر ثلاثة من ممثلي الأطراف الخمسة المذكورين أعلاه لفترة ولاية واحدة واثنين من ممثلي الأطراف الخمسة المذكورين أعلاه لفترتي ولاية. ويقوم مؤتمر الأطراف، في كل اجتماع عادي بعد ذلك، بانتخاب أعضاء جدد لفترتي ولاية كاملتين ليحلوا محل الأعضاء الذين انتهت فترة عضويتهم، أو أوشكت على الانتهاء. ولا يحق للأعضاء أن يخدموا لأكثر من فترتي ولاية متتاليتين. ولأغراض هذه الاختصاصات، فإن ”فترة الولاية“ تعني الفترة التي تبدأ بانتهاء اجتماع عادي لمؤتمر الأطراف وتنتهي بنهاية الاجتماع العادي اللاحق لمؤتمر الأطراف</w:t>
      </w:r>
      <w:r w:rsidRPr="00DE0F03">
        <w:rPr>
          <w:rFonts w:ascii="Simplified Arabic" w:hAnsi="Simplified Arabic" w:cs="Simplified Arabic"/>
          <w:sz w:val="24"/>
          <w:szCs w:val="24"/>
          <w:rtl/>
        </w:rPr>
        <w:t xml:space="preserve">. </w:t>
      </w:r>
      <w:r w:rsidRPr="00DE0F03">
        <w:rPr>
          <w:rFonts w:ascii="Simplified Arabic" w:hAnsi="Simplified Arabic" w:cs="Simplified Arabic"/>
          <w:strike/>
          <w:sz w:val="24"/>
          <w:szCs w:val="24"/>
          <w:rtl/>
        </w:rPr>
        <w:t>وينتخب مؤتمر الأطراف ممثلي الأطراف الخمسة المذكورين أعلاه في كل اجتماع من اجتماعاته، بناءً على الترشيحات الواردة من كل مجموعة إقليمية.</w:t>
      </w:r>
      <w:r w:rsidRPr="00DE0F03">
        <w:rPr>
          <w:rFonts w:ascii="Simplified Arabic" w:hAnsi="Simplified Arabic" w:cs="Simplified Arabic"/>
          <w:sz w:val="24"/>
          <w:szCs w:val="24"/>
          <w:rtl/>
        </w:rPr>
        <w:t xml:space="preserve"> </w:t>
      </w:r>
      <w:r w:rsidRPr="00DE0F03">
        <w:rPr>
          <w:rFonts w:ascii="Simplified Arabic" w:hAnsi="Simplified Arabic" w:cs="Simplified Arabic"/>
          <w:strike/>
          <w:sz w:val="24"/>
          <w:szCs w:val="24"/>
          <w:rtl/>
        </w:rPr>
        <w:t>ويكون ممثلو الأطراف المنتخبين مؤهلين لإعادة انتخابهم في الاجتماعات اللاحقة لمؤتمر الأطراف في اتفاقية بازل.</w:t>
      </w:r>
      <w:r w:rsidRPr="00DE0F03">
        <w:rPr>
          <w:rFonts w:ascii="Simplified Arabic" w:hAnsi="Simplified Arabic" w:cs="Simplified Arabic"/>
          <w:sz w:val="24"/>
          <w:szCs w:val="24"/>
          <w:rtl/>
        </w:rPr>
        <w:t xml:space="preserve"> </w:t>
      </w:r>
    </w:p>
    <w:p w14:paraId="43DC7410" w14:textId="77777777" w:rsidR="005F1505" w:rsidRPr="00DE0F03" w:rsidRDefault="005F1505" w:rsidP="005F1505">
      <w:pPr>
        <w:pStyle w:val="NormalNonumber"/>
        <w:tabs>
          <w:tab w:val="clear" w:pos="1247"/>
          <w:tab w:val="clear" w:pos="1814"/>
          <w:tab w:val="clear" w:pos="2381"/>
          <w:tab w:val="clear" w:pos="2948"/>
          <w:tab w:val="clear" w:pos="3515"/>
          <w:tab w:val="clear" w:pos="4082"/>
          <w:tab w:val="left" w:pos="2552"/>
        </w:tabs>
        <w:bidi/>
        <w:spacing w:line="360" w:lineRule="exact"/>
        <w:ind w:left="2552" w:hanging="709"/>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sz w:val="24"/>
          <w:szCs w:val="24"/>
          <w:rtl/>
        </w:rPr>
        <w:t>10-</w:t>
      </w:r>
      <w:r w:rsidRPr="00DE0F03">
        <w:rPr>
          <w:rFonts w:ascii="Simplified Arabic" w:hAnsi="Simplified Arabic" w:cs="Simplified Arabic"/>
          <w:sz w:val="24"/>
          <w:szCs w:val="24"/>
          <w:rtl/>
        </w:rPr>
        <w:tab/>
      </w:r>
      <w:r w:rsidRPr="00A2795F">
        <w:rPr>
          <w:rFonts w:ascii="Simplified Arabic" w:hAnsi="Simplified Arabic" w:cs="Simplified Arabic"/>
          <w:sz w:val="24"/>
          <w:szCs w:val="24"/>
          <w:u w:val="single"/>
          <w:rtl/>
        </w:rPr>
        <w:t>يعيِّن مؤتمر الأطراف في اجتماعه الخامس عشر ممثلين اثنين من الممثلين الأربعة التابعين للمراكز الإقليمية والتنسيقية لاتفاقية بازل للعمل لفترة ولاية واحدة واثنين من الممثلين الأربعة لتلك المراكز للعمل لفترتي ولاية. ويقوم مؤتمر الأطراف، في كل اجتماع عادي بعد ذلك، بتعيين أعضاء جدد لفترتي ولاية كاملتين ليحلوا محل الأعضاء الذين انتهت فترة عضويتهم، أو أوشكت على الانتهاء. ولا يحق للأعضاء أن يخدموا لأكثر من فترتي ولاية متتاليتين. ولأغراض هذه الاختصاصات، فإن ”فترة الولاية“ تعني الفترة التي تبدأ بانتهاء اجتماع عادي لمؤتمر الأطراف وتنتهي بنهاية الاجتماع العادي اللاحق لمؤتمر الأطراف</w:t>
      </w:r>
      <w:r w:rsidRPr="00DE0F03">
        <w:rPr>
          <w:rFonts w:ascii="Simplified Arabic" w:hAnsi="Simplified Arabic" w:cs="Simplified Arabic"/>
          <w:sz w:val="24"/>
          <w:szCs w:val="24"/>
          <w:rtl/>
        </w:rPr>
        <w:t xml:space="preserve">. </w:t>
      </w:r>
      <w:r w:rsidRPr="00DE0F03">
        <w:rPr>
          <w:rFonts w:ascii="Simplified Arabic" w:hAnsi="Simplified Arabic" w:cs="Simplified Arabic"/>
          <w:strike/>
          <w:sz w:val="24"/>
          <w:szCs w:val="24"/>
          <w:rtl/>
        </w:rPr>
        <w:t>ويعين مؤتمر الأطراف ممثلي الأطراف الخمسة المذكورين أعلاه في كل اجتماع من اجتماعاته، بناءً على الترشيحات الواردة من كل مجموعة إقليمية.</w:t>
      </w:r>
      <w:r w:rsidRPr="00DE0F03">
        <w:rPr>
          <w:rFonts w:ascii="Simplified Arabic" w:hAnsi="Simplified Arabic" w:cs="Simplified Arabic"/>
          <w:sz w:val="24"/>
          <w:szCs w:val="24"/>
          <w:rtl/>
        </w:rPr>
        <w:t xml:space="preserve"> </w:t>
      </w:r>
      <w:r w:rsidRPr="00DE0F03">
        <w:rPr>
          <w:rFonts w:ascii="Simplified Arabic" w:hAnsi="Simplified Arabic" w:cs="Simplified Arabic"/>
          <w:strike/>
          <w:sz w:val="24"/>
          <w:szCs w:val="24"/>
          <w:rtl/>
        </w:rPr>
        <w:t>وسيكون الممثلون المنتخبون مؤهلين لإعادة انتخابهم في الاجتماعات اللاحقة لمؤتمر الأطراف في اتفاقية بازل.</w:t>
      </w:r>
      <w:r w:rsidRPr="00DE0F03">
        <w:rPr>
          <w:rFonts w:ascii="Simplified Arabic" w:hAnsi="Simplified Arabic" w:cs="Simplified Arabic" w:hint="cs"/>
          <w:sz w:val="24"/>
          <w:szCs w:val="24"/>
          <w:rtl/>
        </w:rPr>
        <w:t>“</w:t>
      </w:r>
    </w:p>
    <w:p w14:paraId="7B5D7435"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bCs/>
          <w:sz w:val="24"/>
          <w:szCs w:val="24"/>
          <w:rtl/>
        </w:rPr>
        <w:t>الاتجار غير القانوني: نشر التوجيهات والأدوات</w:t>
      </w:r>
    </w:p>
    <w:p w14:paraId="4B4012C2"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w:t>
      </w:r>
    </w:p>
    <w:p w14:paraId="741C7FE7" w14:textId="77777777" w:rsidR="005F1505" w:rsidRPr="00DE0F03" w:rsidRDefault="005F1505" w:rsidP="005F1505">
      <w:pPr>
        <w:pStyle w:val="Normal-pool"/>
        <w:numPr>
          <w:ilvl w:val="0"/>
          <w:numId w:val="3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lastRenderedPageBreak/>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وتنفذ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استراتيجية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مستدامة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وفعالة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التوعية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وتحسين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المعرفة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بأدوات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والتدريب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إطار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الاتجار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ومكافحته</w:t>
      </w:r>
      <w:proofErr w:type="spellEnd"/>
      <w:r w:rsidRPr="00DE0F03">
        <w:rPr>
          <w:rFonts w:ascii="Simplified Arabic" w:hAnsi="Simplified Arabic" w:cs="Simplified Arabic"/>
          <w:sz w:val="24"/>
          <w:szCs w:val="24"/>
        </w:rPr>
        <w:t>؛</w:t>
      </w:r>
      <w:proofErr w:type="gramEnd"/>
    </w:p>
    <w:p w14:paraId="0463C28C" w14:textId="77777777" w:rsidR="005F1505" w:rsidRPr="00DE0F03" w:rsidRDefault="005F1505" w:rsidP="005F1505">
      <w:pPr>
        <w:pStyle w:val="Normal-pool"/>
        <w:numPr>
          <w:ilvl w:val="0"/>
          <w:numId w:val="3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تترجم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اللغات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الرسمية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أدواتها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التدريبية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الاتجار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ومكافحته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w:t>
      </w:r>
      <w:proofErr w:type="gramEnd"/>
    </w:p>
    <w:p w14:paraId="022B31A1" w14:textId="77777777" w:rsidR="005F1505" w:rsidRPr="00DE0F03" w:rsidRDefault="005F1505" w:rsidP="005F1505">
      <w:pPr>
        <w:pStyle w:val="Normal-pool"/>
        <w:numPr>
          <w:ilvl w:val="0"/>
          <w:numId w:val="3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للبيئة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ومنظمات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الإنفاذ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مثل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المنظمة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للشرطة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الجنائية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ومنظمة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الجمارك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العالمية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أدوات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والتدريب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إطار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الاتجار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ومكافحته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الإلكترونية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عبر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الإنترنت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وكجزء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البيئية</w:t>
      </w:r>
      <w:proofErr w:type="spellEnd"/>
      <w:r w:rsidRPr="00DE0F03">
        <w:rPr>
          <w:rFonts w:ascii="Simplified Arabic" w:hAnsi="Simplified Arabic" w:cs="Simplified Arabic"/>
          <w:sz w:val="24"/>
          <w:szCs w:val="24"/>
        </w:rPr>
        <w:t>؛</w:t>
      </w:r>
      <w:proofErr w:type="gramEnd"/>
    </w:p>
    <w:p w14:paraId="4E1BACE1"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المنظمات المكلَّفة بولاية مساعدة الأطراف في منع الاتجار غير القانوني ومكافحته على أن تدرج، في مواقعها الشبكية، روابط إلى الموقع الشبكي لاتفاقية بازل، وأن تتيح على مواقعها الشبكية أدوات التوجيه والتدريب التي وُضِعت في إطار الاتفاقية بهدف منع الاتجار غير القانوني ومكافحته، وأن تنشر وتستخدم هذه الأدوات في أنشطتها المتعلقة بالإنفاذ والتدريب؛</w:t>
      </w:r>
    </w:p>
    <w:p w14:paraId="16C400D8"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على أن تنشر على الصعيد الوطني، إلى جميع الجهات صاحبة المصلحة المشاركة في سلسلة الإنفاذ، أدوات التوجيه والتدريب التي وُضِعت في إطار الاتفاقية بهدف منع الاتجار غير القانوني ومكافحته، وذلك عن طريق آليات التنسيق أو غيرها من آليات الاتصال؛</w:t>
      </w:r>
    </w:p>
    <w:p w14:paraId="7861256C" w14:textId="77777777" w:rsidR="005F1505" w:rsidRDefault="005F1505" w:rsidP="005F1505">
      <w:pPr>
        <w:bidi w:val="0"/>
        <w:rPr>
          <w:rFonts w:ascii="Simplified Arabic" w:hAnsi="Simplified Arabic"/>
          <w:b/>
          <w:bCs/>
          <w:szCs w:val="24"/>
          <w:rtl/>
          <w:lang w:val="en-GB"/>
        </w:rPr>
      </w:pPr>
      <w:r>
        <w:rPr>
          <w:rFonts w:ascii="Simplified Arabic" w:hAnsi="Simplified Arabic"/>
          <w:bCs/>
          <w:szCs w:val="24"/>
          <w:rtl/>
        </w:rPr>
        <w:br w:type="page"/>
      </w:r>
    </w:p>
    <w:p w14:paraId="41E5A0F6"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bCs/>
          <w:sz w:val="24"/>
          <w:szCs w:val="24"/>
        </w:rPr>
      </w:pPr>
      <w:r w:rsidRPr="00DE0F03">
        <w:rPr>
          <w:rFonts w:ascii="Simplified Arabic" w:hAnsi="Simplified Arabic" w:cs="Simplified Arabic"/>
          <w:bCs/>
          <w:sz w:val="24"/>
          <w:szCs w:val="24"/>
          <w:rtl/>
        </w:rPr>
        <w:lastRenderedPageBreak/>
        <w:t>الاتجار غير القانوني: أنشطة الأمانة الرامية إلى مساعدة الأطراف في منع الاتجار غير القانوني ومكافحته</w:t>
      </w:r>
    </w:p>
    <w:p w14:paraId="215CD99B"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بتوفير الأمانة، عند الطلب، للمشورة بشأن المسائل المتعلقة بتنفيذ الاتفاقية وإنفاذها، وبالجهود التي تبذلها لبناء القدرات وتقديم المساعدة التقنية للأطراف من أجل دعم تنفيذها لنظام الرقابة على الاتفاقية وإنفاذه ولمنع الاتجار غير القانوني ومكافحته؛</w:t>
      </w:r>
    </w:p>
    <w:p w14:paraId="0214D9CB"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bCs/>
          <w:sz w:val="24"/>
          <w:szCs w:val="24"/>
        </w:rPr>
      </w:pPr>
      <w:r w:rsidRPr="00DE0F03">
        <w:rPr>
          <w:rFonts w:ascii="Simplified Arabic" w:hAnsi="Simplified Arabic" w:cs="Simplified Arabic"/>
          <w:bCs/>
          <w:sz w:val="24"/>
          <w:szCs w:val="24"/>
          <w:rtl/>
        </w:rPr>
        <w:t>التشريعات الوطنية: أنشطة الكيانات الأخرى الرامية إلى مساعدة الأطراف في استعراض أو وضع التشريعات التي تنفذ اتفاقية بازل</w:t>
      </w:r>
    </w:p>
    <w:p w14:paraId="74F3E2FC"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المراكز الإقليمية والتنسيقية لاتفاقية بازل، وبرنامج الأمم المتحدة للبيئة، والكيانات الأخرى مثل منظمة الأغذية والزراعة للأمم المتحدة، ومرفق البيئة العالمية، وبرنامج الأمم المتحدة الإنمائي، ومنظمة الأمم المتحدة للتنمية الصناعية، والبنك الدولي، ومصارف التنمية الإقليمية على القيام بما يلي:</w:t>
      </w:r>
    </w:p>
    <w:p w14:paraId="4B57DE20" w14:textId="77777777" w:rsidR="005F1505" w:rsidRPr="00DE0F03" w:rsidRDefault="005F1505" w:rsidP="005F1505">
      <w:pPr>
        <w:pStyle w:val="Normal-pool"/>
        <w:numPr>
          <w:ilvl w:val="0"/>
          <w:numId w:val="3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الاستبيانات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تلتمس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لتمكين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إنجاز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ولايتها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المتمثلة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4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المادة</w:t>
      </w:r>
      <w:proofErr w:type="spellEnd"/>
      <w:r w:rsidRPr="00DE0F03">
        <w:rPr>
          <w:rFonts w:ascii="Simplified Arabic" w:hAnsi="Simplified Arabic" w:cs="Simplified Arabic"/>
          <w:sz w:val="24"/>
          <w:szCs w:val="24"/>
        </w:rPr>
        <w:t xml:space="preserve"> 4 </w:t>
      </w:r>
      <w:proofErr w:type="spellStart"/>
      <w:r w:rsidRPr="00DE0F03">
        <w:rPr>
          <w:rFonts w:ascii="Simplified Arabic" w:hAnsi="Simplified Arabic" w:cs="Simplified Arabic"/>
          <w:sz w:val="24"/>
          <w:szCs w:val="24"/>
        </w:rPr>
        <w:t>والفقرة</w:t>
      </w:r>
      <w:proofErr w:type="spellEnd"/>
      <w:r w:rsidRPr="00DE0F03">
        <w:rPr>
          <w:rFonts w:ascii="Simplified Arabic" w:hAnsi="Simplified Arabic" w:cs="Simplified Arabic"/>
          <w:sz w:val="24"/>
          <w:szCs w:val="24"/>
        </w:rPr>
        <w:t xml:space="preserve"> 5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المادة</w:t>
      </w:r>
      <w:proofErr w:type="spellEnd"/>
      <w:r w:rsidRPr="00DE0F03">
        <w:rPr>
          <w:rFonts w:ascii="Simplified Arabic" w:hAnsi="Simplified Arabic" w:cs="Simplified Arabic"/>
          <w:sz w:val="24"/>
          <w:szCs w:val="24"/>
        </w:rPr>
        <w:t xml:space="preserve"> 9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لهما</w:t>
      </w:r>
      <w:proofErr w:type="spellEnd"/>
      <w:r w:rsidRPr="00DE0F03">
        <w:rPr>
          <w:rFonts w:ascii="Simplified Arabic" w:hAnsi="Simplified Arabic" w:cs="Simplified Arabic"/>
          <w:sz w:val="24"/>
          <w:szCs w:val="24"/>
        </w:rPr>
        <w:t>؛</w:t>
      </w:r>
      <w:proofErr w:type="gramEnd"/>
    </w:p>
    <w:p w14:paraId="04F156DB" w14:textId="77777777" w:rsidR="005F1505" w:rsidRPr="00DE0F03" w:rsidRDefault="005F1505" w:rsidP="005F1505">
      <w:pPr>
        <w:pStyle w:val="Normal-pool"/>
        <w:numPr>
          <w:ilvl w:val="0"/>
          <w:numId w:val="3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تشارك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بصفة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مراقب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تضطلع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الحلقات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الدراسية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وحلقات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المستوى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القطري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w:t>
      </w:r>
      <w:proofErr w:type="gramEnd"/>
    </w:p>
    <w:p w14:paraId="399DD23F"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في سياق تحديد احتياجاتها من المساعدة التقنية، مثلاً عند ملء استبيان الأمانة بشأنها، وعند وضع خطط عمل المراكز الإقليمية والتنسيقية لاتفاقية بازل، وعند وضع إطارها للتعاون في مجال التنمية المستدامة، على أن تُدرج كنشاط ذي أولوية وضع الأطر القانونية التي تنفذ الاتفاقية، بما في ذلك أي تعديلات عليها، حسب الاقتضاء؛ </w:t>
      </w:r>
      <w:bookmarkStart w:id="22" w:name="_Hlk36471511"/>
    </w:p>
    <w:p w14:paraId="769787AF"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المراكز الإقليمية والتنسيقية لاتفاقية بازل، والمجلس التنفيذي للبرنامج الخاص للدعم المؤسسي على الصعيد الوطني لتنفيذ اتفاقيات بازل وروتردام واستكهولم واتفاقية ميناماتا والنهج الاستراتيجي للإدارة الدولية للمواد الكيميائية، وبرنامج الأمم المتحدة للبيئة، والكيانات الأخرى مثل منظمة الأغذية والزراعة للأمم المتحدة، وبرنامج الأمم المتحدة الإنمائي، ومنظمة الأمم المتحدة للتنمية الصناعية، والبنك الدولي، ومصارف التنمية الإقليمية، وكذلك مرفق البيئة العالمية في سياق الأنشطة ذات الصلة المموَّلة في إطار اتفاقية استكهولم، على أن تُدرج وضع الأطر القانونية التي تنفذ الاتفاقية كناتج فعلي لأنشطتها أو أن تسعى إلى إدراج ذلك في الأنشطة التي تمولها، من أجل دعم الأطراف في تنفيذ الاتفاقية؛ </w:t>
      </w:r>
      <w:bookmarkEnd w:id="22"/>
    </w:p>
    <w:p w14:paraId="2E3D4BBF"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bCs/>
          <w:sz w:val="24"/>
          <w:szCs w:val="24"/>
        </w:rPr>
      </w:pPr>
      <w:r w:rsidRPr="00DE0F03">
        <w:rPr>
          <w:rFonts w:ascii="Simplified Arabic" w:hAnsi="Simplified Arabic" w:cs="Simplified Arabic"/>
          <w:bCs/>
          <w:sz w:val="24"/>
          <w:szCs w:val="24"/>
          <w:rtl/>
        </w:rPr>
        <w:t xml:space="preserve">نظام </w:t>
      </w:r>
      <w:r>
        <w:rPr>
          <w:rFonts w:ascii="Simplified Arabic" w:hAnsi="Simplified Arabic" w:cs="Simplified Arabic" w:hint="cs"/>
          <w:bCs/>
          <w:sz w:val="24"/>
          <w:szCs w:val="24"/>
          <w:rtl/>
        </w:rPr>
        <w:t>ال</w:t>
      </w:r>
      <w:r w:rsidRPr="00DE0F03">
        <w:rPr>
          <w:rFonts w:ascii="Simplified Arabic" w:hAnsi="Simplified Arabic" w:cs="Simplified Arabic"/>
          <w:bCs/>
          <w:sz w:val="24"/>
          <w:szCs w:val="24"/>
          <w:rtl/>
        </w:rPr>
        <w:t>مراقبة</w:t>
      </w:r>
    </w:p>
    <w:p w14:paraId="008FABF1"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يعتمد</w:t>
      </w:r>
      <w:r w:rsidRPr="00DE0F03">
        <w:rPr>
          <w:rFonts w:ascii="Simplified Arabic" w:eastAsia="Times New Roman" w:hAnsi="Simplified Arabic" w:cs="Simplified Arabic"/>
          <w:sz w:val="24"/>
          <w:szCs w:val="24"/>
          <w:rtl/>
          <w:lang w:val="en-GB"/>
        </w:rPr>
        <w:t xml:space="preserve"> التوجيهات لتحسين تنفيذ الفقرة 11 من المادة 6 من الاتفاقية بشأن التأمين والسندات والضمان</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sz w:val="24"/>
          <w:szCs w:val="24"/>
          <w:rtl/>
          <w:lang w:val="en-GB"/>
        </w:rPr>
        <w:t xml:space="preserve"> ويشجع الأطراف والجهات صاحبة المصلحة المعنية على استخدامها؛</w:t>
      </w:r>
      <w:bookmarkStart w:id="25" w:name="_Hlk106803903"/>
      <w:bookmarkEnd w:id="25"/>
    </w:p>
    <w:p w14:paraId="22C3EFF4"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يعتمد أيضاً</w:t>
      </w:r>
      <w:r w:rsidRPr="00DE0F03">
        <w:rPr>
          <w:rFonts w:ascii="Simplified Arabic" w:eastAsia="Times New Roman" w:hAnsi="Simplified Arabic" w:cs="Simplified Arabic"/>
          <w:sz w:val="24"/>
          <w:szCs w:val="24"/>
          <w:rtl/>
          <w:lang w:val="en-GB"/>
        </w:rPr>
        <w:t xml:space="preserve"> التوجيهات بشأن تنفيذ الفقرة 4 من المادة 6 من الاتفاقية بشأن النقل عبر الحدود</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ويشجع الأطراف والجهات صاحبة المصلحة المعنية على استخدامها؛</w:t>
      </w:r>
      <w:bookmarkStart w:id="27" w:name="_Hlk106803916"/>
      <w:bookmarkEnd w:id="27"/>
    </w:p>
    <w:p w14:paraId="51D92E58"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w:t>
      </w:r>
      <w:r w:rsidRPr="00DE0F03">
        <w:rPr>
          <w:rFonts w:ascii="Simplified Arabic" w:eastAsia="Times New Roman" w:hAnsi="Simplified Arabic" w:cs="Simplified Arabic" w:hint="cs"/>
          <w:i/>
          <w:iCs/>
          <w:sz w:val="24"/>
          <w:szCs w:val="24"/>
          <w:rtl/>
          <w:lang w:val="en-GB"/>
        </w:rPr>
        <w:t>ــــ</w:t>
      </w:r>
      <w:r w:rsidRPr="00DE0F03">
        <w:rPr>
          <w:rFonts w:ascii="Simplified Arabic" w:eastAsia="Times New Roman" w:hAnsi="Simplified Arabic" w:cs="Simplified Arabic"/>
          <w:i/>
          <w:iCs/>
          <w:sz w:val="24"/>
          <w:szCs w:val="24"/>
          <w:rtl/>
          <w:lang w:val="en-GB"/>
        </w:rPr>
        <w:t>ح</w:t>
      </w:r>
      <w:r w:rsidRPr="00DE0F03">
        <w:rPr>
          <w:rFonts w:ascii="Simplified Arabic" w:eastAsia="Times New Roman" w:hAnsi="Simplified Arabic" w:cs="Simplified Arabic" w:hint="cs"/>
          <w:i/>
          <w:iCs/>
          <w:sz w:val="24"/>
          <w:szCs w:val="24"/>
          <w:rtl/>
          <w:lang w:val="en-GB"/>
        </w:rPr>
        <w:t>ــــ</w:t>
      </w:r>
      <w:r w:rsidRPr="00DE0F03">
        <w:rPr>
          <w:rFonts w:ascii="Simplified Arabic" w:eastAsia="Times New Roman" w:hAnsi="Simplified Arabic" w:cs="Simplified Arabic"/>
          <w:i/>
          <w:iCs/>
          <w:sz w:val="24"/>
          <w:szCs w:val="24"/>
          <w:rtl/>
          <w:lang w:val="en-GB"/>
        </w:rPr>
        <w:t>ي</w:t>
      </w:r>
      <w:r w:rsidRPr="00DE0F03">
        <w:rPr>
          <w:rFonts w:ascii="Simplified Arabic" w:eastAsia="Times New Roman" w:hAnsi="Simplified Arabic" w:cs="Simplified Arabic" w:hint="cs"/>
          <w:i/>
          <w:iCs/>
          <w:sz w:val="24"/>
          <w:szCs w:val="24"/>
          <w:rtl/>
          <w:lang w:val="en-GB"/>
        </w:rPr>
        <w:t>ــــ</w:t>
      </w:r>
      <w:r w:rsidRPr="00DE0F03">
        <w:rPr>
          <w:rFonts w:ascii="Simplified Arabic" w:eastAsia="Times New Roman" w:hAnsi="Simplified Arabic" w:cs="Simplified Arabic"/>
          <w:i/>
          <w:iCs/>
          <w:sz w:val="24"/>
          <w:szCs w:val="24"/>
          <w:rtl/>
          <w:lang w:val="en-GB"/>
        </w:rPr>
        <w:t>ط ع</w:t>
      </w:r>
      <w:r w:rsidRPr="00DE0F03">
        <w:rPr>
          <w:rFonts w:ascii="Simplified Arabic" w:eastAsia="Times New Roman" w:hAnsi="Simplified Arabic" w:cs="Simplified Arabic" w:hint="cs"/>
          <w:i/>
          <w:iCs/>
          <w:sz w:val="24"/>
          <w:szCs w:val="24"/>
          <w:rtl/>
          <w:lang w:val="en-GB"/>
        </w:rPr>
        <w:t>ــــ</w:t>
      </w:r>
      <w:r w:rsidRPr="00DE0F03">
        <w:rPr>
          <w:rFonts w:ascii="Simplified Arabic" w:eastAsia="Times New Roman" w:hAnsi="Simplified Arabic" w:cs="Simplified Arabic"/>
          <w:i/>
          <w:iCs/>
          <w:sz w:val="24"/>
          <w:szCs w:val="24"/>
          <w:rtl/>
          <w:lang w:val="en-GB"/>
        </w:rPr>
        <w:t>ل</w:t>
      </w:r>
      <w:r w:rsidRPr="00DE0F03">
        <w:rPr>
          <w:rFonts w:ascii="Simplified Arabic" w:eastAsia="Times New Roman" w:hAnsi="Simplified Arabic" w:cs="Simplified Arabic" w:hint="cs"/>
          <w:i/>
          <w:iCs/>
          <w:sz w:val="24"/>
          <w:szCs w:val="24"/>
          <w:rtl/>
          <w:lang w:val="en-GB"/>
        </w:rPr>
        <w:t>ــــ</w:t>
      </w:r>
      <w:r w:rsidRPr="00DE0F03">
        <w:rPr>
          <w:rFonts w:ascii="Simplified Arabic" w:eastAsia="Times New Roman" w:hAnsi="Simplified Arabic" w:cs="Simplified Arabic"/>
          <w:i/>
          <w:iCs/>
          <w:sz w:val="24"/>
          <w:szCs w:val="24"/>
          <w:rtl/>
          <w:lang w:val="en-GB"/>
        </w:rPr>
        <w:t>م</w:t>
      </w:r>
      <w:r w:rsidRPr="00DE0F03">
        <w:rPr>
          <w:rFonts w:ascii="Simplified Arabic" w:eastAsia="Times New Roman" w:hAnsi="Simplified Arabic" w:cs="Simplified Arabic" w:hint="cs"/>
          <w:i/>
          <w:iCs/>
          <w:sz w:val="24"/>
          <w:szCs w:val="24"/>
          <w:rtl/>
          <w:lang w:val="en-GB"/>
        </w:rPr>
        <w:t>ــــ</w:t>
      </w:r>
      <w:r w:rsidRPr="00DE0F03">
        <w:rPr>
          <w:rFonts w:ascii="Simplified Arabic" w:eastAsia="Times New Roman" w:hAnsi="Simplified Arabic" w:cs="Simplified Arabic"/>
          <w:i/>
          <w:iCs/>
          <w:sz w:val="24"/>
          <w:szCs w:val="24"/>
          <w:rtl/>
          <w:lang w:val="en-GB"/>
        </w:rPr>
        <w:t>اً</w:t>
      </w:r>
      <w:r w:rsidRPr="00DE0F03">
        <w:rPr>
          <w:rFonts w:ascii="Simplified Arabic" w:eastAsia="Times New Roman" w:hAnsi="Simplified Arabic" w:cs="Simplified Arabic"/>
          <w:sz w:val="24"/>
          <w:szCs w:val="24"/>
          <w:rtl/>
          <w:lang w:val="en-GB"/>
        </w:rPr>
        <w:t xml:space="preserve"> ب</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ت</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ع</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اري</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ف/ال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ت</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ص</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ورات 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دى الأط</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راف 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م</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ص</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ط</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ل</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ح</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ي ”ال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ن</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ق</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ل“ و”ح</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ال</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ة 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ن</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ق</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ل“ اس</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ت</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ج</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اب</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ةً لل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س</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ؤال</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ي</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ن 3</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ح</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’1‘ و’2‘ ف</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ي 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ت</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ق</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اري</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ر 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وط</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ن</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ي</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ة لل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ف</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ت</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رة 2017-2019، واستجابة لاستبيانيْ عاميْ 2016 و2021 اللذين أجرتهما لجنة التنفيذ والامتثال بشأن عمليات النقل عبر الحدود (الوضع في 1 تشرين الأول/أكتوبر 2021)</w:t>
      </w:r>
      <w:r w:rsidRPr="00C35D3A">
        <w:rPr>
          <w:rFonts w:ascii="Simplified Arabic" w:eastAsia="Times New Roman" w:hAnsi="Simplified Arabic" w:cs="Simplified Arabic" w:hint="cs"/>
          <w:sz w:val="24"/>
          <w:szCs w:val="24"/>
          <w:vertAlign w:val="superscript"/>
          <w:rtl/>
          <w:lang w:val="en-GB"/>
        </w:rPr>
        <w:t>(</w:t>
      </w:r>
      <w:r w:rsidRPr="00C35D3A">
        <w:rPr>
          <w:rStyle w:val="FootnoteReference"/>
          <w:rFonts w:ascii="Simplified Arabic" w:eastAsia="Times New Roman" w:hAnsi="Simplified Arabic" w:cs="Simplified Arabic" w:hint="cs"/>
          <w:sz w:val="24"/>
          <w:szCs w:val="24"/>
          <w:rtl/>
          <w:lang w:val="en-GB"/>
        </w:rPr>
        <w:footnoteReference w:id="6"/>
      </w:r>
      <w:r w:rsidRPr="00C35D3A">
        <w:rPr>
          <w:rFonts w:ascii="Simplified Arabic" w:eastAsia="Times New Roman" w:hAnsi="Simplified Arabic" w:cs="Simplified Arabic" w:hint="cs"/>
          <w:sz w:val="24"/>
          <w:szCs w:val="24"/>
          <w:vertAlign w:val="superscript"/>
          <w:rtl/>
          <w:lang w:val="en-GB"/>
        </w:rPr>
        <w:t>)</w:t>
      </w:r>
      <w:r w:rsidRPr="00DE0F03">
        <w:rPr>
          <w:rFonts w:eastAsia="Times New Roman" w:hint="cs"/>
          <w:rtl/>
          <w:lang w:val="en-GB"/>
        </w:rPr>
        <w:t xml:space="preserve"> </w:t>
      </w:r>
      <w:r w:rsidRPr="00DE0F03">
        <w:rPr>
          <w:rFonts w:ascii="Simplified Arabic" w:eastAsia="Times New Roman" w:hAnsi="Simplified Arabic" w:cs="Simplified Arabic"/>
          <w:sz w:val="24"/>
          <w:szCs w:val="24"/>
          <w:rtl/>
          <w:lang w:val="en-GB"/>
        </w:rPr>
        <w:t>ويطلب إلى الأمانة أن تحفظ على الموقع الإلكتروني قائمة بالتعاريف والتصورات لدى الأطراف فيما يتعلق بمعنى النقل؛</w:t>
      </w:r>
    </w:p>
    <w:p w14:paraId="13D3CEFC" w14:textId="77777777" w:rsidR="005F1505" w:rsidRPr="00DE0F03" w:rsidRDefault="005F1505" w:rsidP="005F1505">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ثالثاً</w:t>
      </w:r>
    </w:p>
    <w:p w14:paraId="3FB84FA5" w14:textId="77777777" w:rsidR="005F1505" w:rsidRPr="00DE0F03" w:rsidRDefault="005F1505" w:rsidP="005F1505">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برنامج العمل لفترة السنتين 2022-2023</w:t>
      </w:r>
    </w:p>
    <w:p w14:paraId="1CD44C54"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يوافق</w:t>
      </w:r>
      <w:r w:rsidRPr="00DE0F03">
        <w:rPr>
          <w:rFonts w:ascii="Simplified Arabic" w:eastAsia="Times New Roman" w:hAnsi="Simplified Arabic" w:cs="Simplified Arabic"/>
          <w:sz w:val="24"/>
          <w:szCs w:val="24"/>
          <w:rtl/>
          <w:lang w:val="en-GB"/>
        </w:rPr>
        <w:t xml:space="preserve"> على برنامج عمل اللجنة لفترة السنتين 2022-2023 الذي يرد في مرفق هذا المقرر؛</w:t>
      </w:r>
    </w:p>
    <w:p w14:paraId="1780EEC3"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اللجنة ما يلي:</w:t>
      </w:r>
    </w:p>
    <w:p w14:paraId="485463D0" w14:textId="77777777" w:rsidR="005F1505" w:rsidRPr="00DE0F03" w:rsidRDefault="005F1505" w:rsidP="005F1505">
      <w:pPr>
        <w:pStyle w:val="Normal-pool"/>
        <w:numPr>
          <w:ilvl w:val="0"/>
          <w:numId w:val="3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تحدِّد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الأولويات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وأساليب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والجداول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الزمنية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المدرجة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ضمن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وتنسق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والمراكز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بغرض</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تجنب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ازدواج</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w:t>
      </w:r>
      <w:proofErr w:type="gramEnd"/>
    </w:p>
    <w:p w14:paraId="68860C82" w14:textId="77777777" w:rsidR="005F1505" w:rsidRPr="00DE0F03" w:rsidRDefault="005F1505" w:rsidP="005F1505">
      <w:pPr>
        <w:pStyle w:val="Normal-pool"/>
        <w:numPr>
          <w:ilvl w:val="0"/>
          <w:numId w:val="3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تتشاور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قبل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موعد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انعقاد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الاجتماع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مشروع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لفترة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السنتين</w:t>
      </w:r>
      <w:proofErr w:type="spellEnd"/>
      <w:r w:rsidRPr="00DE0F03">
        <w:rPr>
          <w:rFonts w:ascii="Simplified Arabic" w:hAnsi="Simplified Arabic" w:cs="Simplified Arabic"/>
          <w:sz w:val="24"/>
          <w:szCs w:val="24"/>
        </w:rPr>
        <w:t xml:space="preserve"> </w:t>
      </w:r>
      <w:proofErr w:type="gramStart"/>
      <w:r w:rsidRPr="00DE0F03">
        <w:rPr>
          <w:rFonts w:ascii="Simplified Arabic" w:hAnsi="Simplified Arabic" w:cs="Simplified Arabic"/>
          <w:sz w:val="24"/>
          <w:szCs w:val="24"/>
        </w:rPr>
        <w:t>2024-2025؛</w:t>
      </w:r>
      <w:proofErr w:type="gramEnd"/>
    </w:p>
    <w:p w14:paraId="799AD148" w14:textId="77777777" w:rsidR="005F1505" w:rsidRPr="00DE0F03" w:rsidRDefault="005F1505" w:rsidP="005F1505">
      <w:pPr>
        <w:pStyle w:val="Normal-pool"/>
        <w:numPr>
          <w:ilvl w:val="0"/>
          <w:numId w:val="3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نفذته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لإنجاز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مهامها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وفقاً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للفقرتين</w:t>
      </w:r>
      <w:proofErr w:type="spellEnd"/>
      <w:r w:rsidRPr="00DE0F03">
        <w:rPr>
          <w:rFonts w:ascii="Simplified Arabic" w:hAnsi="Simplified Arabic" w:cs="Simplified Arabic"/>
          <w:sz w:val="24"/>
          <w:szCs w:val="24"/>
        </w:rPr>
        <w:t xml:space="preserve"> 23 و24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اختصاصات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sz w:val="24"/>
          <w:szCs w:val="24"/>
        </w:rPr>
        <w:t>؛</w:t>
      </w:r>
      <w:proofErr w:type="gramEnd"/>
    </w:p>
    <w:p w14:paraId="435BB33D" w14:textId="77777777" w:rsidR="005F1505" w:rsidRPr="00DE0F03" w:rsidRDefault="005F1505" w:rsidP="005F1505">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رابعاً</w:t>
      </w:r>
    </w:p>
    <w:p w14:paraId="2FF7FD35" w14:textId="77777777" w:rsidR="005F1505" w:rsidRPr="00DE0F03" w:rsidRDefault="005F1505" w:rsidP="005F1505">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انتخاب أعضاء اللجنة</w:t>
      </w:r>
    </w:p>
    <w:p w14:paraId="57B9B01F" w14:textId="77777777" w:rsidR="005F1505" w:rsidRPr="00DE0F03" w:rsidRDefault="005F1505" w:rsidP="005F1505">
      <w:pPr>
        <w:pStyle w:val="ListParagraph"/>
        <w:numPr>
          <w:ilvl w:val="6"/>
          <w:numId w:val="30"/>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ينتخب</w:t>
      </w:r>
      <w:r w:rsidRPr="00DE0F03">
        <w:rPr>
          <w:rFonts w:ascii="Simplified Arabic" w:eastAsia="Times New Roman" w:hAnsi="Simplified Arabic" w:cs="Simplified Arabic"/>
          <w:sz w:val="24"/>
          <w:szCs w:val="24"/>
          <w:rtl/>
          <w:lang w:val="en-GB"/>
        </w:rPr>
        <w:t>، وفقاً لاختصاصات آلية تعزيز تنفيذ اتفاقية بازل والامتثال لها</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7"/>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sz w:val="24"/>
          <w:szCs w:val="24"/>
          <w:rtl/>
          <w:lang w:val="en-GB"/>
        </w:rPr>
        <w:t>، الأعضاء التالية أسماؤهم للعمل في اللجنة إلى حين اختتام الاجتماع السابع عشر لمؤتمر الأطراف</w:t>
      </w:r>
      <w:r w:rsidRPr="00DE0F03">
        <w:rPr>
          <w:rFonts w:ascii="Simplified Arabic" w:eastAsia="Times New Roman" w:hAnsi="Simplified Arabic" w:cs="Simplified Arabic" w:hint="cs"/>
          <w:sz w:val="24"/>
          <w:szCs w:val="24"/>
          <w:rtl/>
          <w:lang w:val="en-GB"/>
        </w:rPr>
        <w:t>:</w:t>
      </w:r>
    </w:p>
    <w:p w14:paraId="09A67540" w14:textId="77777777" w:rsidR="005F1505" w:rsidRPr="00DE0F03" w:rsidRDefault="005F1505" w:rsidP="005F1505">
      <w:pPr>
        <w:pStyle w:val="NormalNonumber"/>
        <w:tabs>
          <w:tab w:val="clear" w:pos="1247"/>
          <w:tab w:val="clear" w:pos="1814"/>
          <w:tab w:val="clear" w:pos="2381"/>
          <w:tab w:val="clear" w:pos="2948"/>
          <w:tab w:val="clear" w:pos="3515"/>
          <w:tab w:val="clear" w:pos="4082"/>
        </w:tabs>
        <w:bidi/>
        <w:spacing w:line="360" w:lineRule="exact"/>
        <w:ind w:left="2552"/>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b/>
          <w:bCs/>
          <w:sz w:val="24"/>
          <w:szCs w:val="24"/>
          <w:rtl/>
        </w:rPr>
        <w:t>الدول الأفريقية:</w:t>
      </w:r>
      <w:r w:rsidRPr="00DE0F03">
        <w:rPr>
          <w:rFonts w:ascii="Simplified Arabic" w:hAnsi="Simplified Arabic" w:cs="Simplified Arabic"/>
          <w:sz w:val="24"/>
          <w:szCs w:val="24"/>
          <w:rtl/>
        </w:rPr>
        <w:t xml:space="preserve"> السيدة بيشنس نامباليروا نسيريكو (أوغندا)</w:t>
      </w:r>
    </w:p>
    <w:p w14:paraId="51ECBF83" w14:textId="77777777" w:rsidR="005F1505" w:rsidRPr="00DE0F03" w:rsidRDefault="005F1505" w:rsidP="005F1505">
      <w:pPr>
        <w:pStyle w:val="NormalNonumber"/>
        <w:tabs>
          <w:tab w:val="clear" w:pos="1247"/>
          <w:tab w:val="clear" w:pos="1814"/>
          <w:tab w:val="clear" w:pos="2381"/>
          <w:tab w:val="clear" w:pos="2948"/>
          <w:tab w:val="clear" w:pos="3515"/>
          <w:tab w:val="clear" w:pos="4082"/>
        </w:tabs>
        <w:bidi/>
        <w:spacing w:line="360" w:lineRule="exact"/>
        <w:ind w:left="2552"/>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b/>
          <w:bCs/>
          <w:sz w:val="24"/>
          <w:szCs w:val="24"/>
          <w:rtl/>
        </w:rPr>
        <w:t>دول آسيا والمحيط الهادئ:</w:t>
      </w:r>
      <w:r w:rsidRPr="00DE0F03">
        <w:rPr>
          <w:rFonts w:ascii="Simplified Arabic" w:hAnsi="Simplified Arabic" w:cs="Simplified Arabic"/>
          <w:sz w:val="24"/>
          <w:szCs w:val="24"/>
          <w:rtl/>
        </w:rPr>
        <w:t xml:space="preserve"> السيد ساتيندرا كومار (الهند)</w:t>
      </w:r>
    </w:p>
    <w:p w14:paraId="027BE554" w14:textId="77777777" w:rsidR="005F1505" w:rsidRPr="00DE0F03" w:rsidRDefault="005F1505" w:rsidP="005F1505">
      <w:pPr>
        <w:pStyle w:val="NormalNonumber"/>
        <w:tabs>
          <w:tab w:val="clear" w:pos="1247"/>
          <w:tab w:val="clear" w:pos="1814"/>
          <w:tab w:val="clear" w:pos="2381"/>
          <w:tab w:val="clear" w:pos="2948"/>
          <w:tab w:val="clear" w:pos="3515"/>
          <w:tab w:val="clear" w:pos="4082"/>
        </w:tabs>
        <w:bidi/>
        <w:spacing w:line="360" w:lineRule="exact"/>
        <w:ind w:left="2552"/>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b/>
          <w:bCs/>
          <w:sz w:val="24"/>
          <w:szCs w:val="24"/>
          <w:rtl/>
        </w:rPr>
        <w:t>دول أوروبا الشرقية:</w:t>
      </w:r>
      <w:r w:rsidRPr="00DE0F03">
        <w:rPr>
          <w:rFonts w:ascii="Simplified Arabic" w:hAnsi="Simplified Arabic" w:cs="Simplified Arabic"/>
          <w:sz w:val="24"/>
          <w:szCs w:val="24"/>
          <w:rtl/>
        </w:rPr>
        <w:t xml:space="preserve"> السيدة تاتيانا توغي (جمهورية مولدوفا)</w:t>
      </w:r>
    </w:p>
    <w:p w14:paraId="661967BC" w14:textId="77777777" w:rsidR="005F1505" w:rsidRPr="00DE0F03" w:rsidRDefault="005F1505" w:rsidP="005F1505">
      <w:pPr>
        <w:pStyle w:val="NormalNonumber"/>
        <w:tabs>
          <w:tab w:val="clear" w:pos="1247"/>
          <w:tab w:val="clear" w:pos="1814"/>
          <w:tab w:val="clear" w:pos="2381"/>
          <w:tab w:val="clear" w:pos="2948"/>
          <w:tab w:val="clear" w:pos="3515"/>
          <w:tab w:val="clear" w:pos="4082"/>
        </w:tabs>
        <w:bidi/>
        <w:spacing w:line="360" w:lineRule="exact"/>
        <w:ind w:left="2552"/>
        <w:jc w:val="both"/>
        <w:textDirection w:val="tbRlV"/>
        <w:rPr>
          <w:rFonts w:ascii="Simplified Arabic" w:hAnsi="Simplified Arabic" w:cs="Simplified Arabic"/>
          <w:sz w:val="24"/>
          <w:szCs w:val="24"/>
          <w:lang w:val="ar-SA" w:eastAsia="zh-TW" w:bidi="en-GB"/>
        </w:rPr>
      </w:pPr>
      <w:r w:rsidRPr="00DE0F03">
        <w:rPr>
          <w:rFonts w:ascii="Simplified Arabic" w:hAnsi="Simplified Arabic" w:cs="Simplified Arabic"/>
          <w:b/>
          <w:bCs/>
          <w:sz w:val="24"/>
          <w:szCs w:val="24"/>
          <w:rtl/>
        </w:rPr>
        <w:lastRenderedPageBreak/>
        <w:t>دول أمريكا اللاتينية ومنطقة البحر الكاريبي:</w:t>
      </w:r>
      <w:r w:rsidRPr="00DE0F03">
        <w:rPr>
          <w:rFonts w:ascii="Simplified Arabic" w:hAnsi="Simplified Arabic" w:cs="Simplified Arabic"/>
          <w:sz w:val="24"/>
          <w:szCs w:val="24"/>
          <w:rtl/>
        </w:rPr>
        <w:t xml:space="preserve"> </w:t>
      </w:r>
      <w:r w:rsidRPr="00EA4965">
        <w:rPr>
          <w:rFonts w:ascii="Simplified Arabic" w:hAnsi="Simplified Arabic" w:cs="Simplified Arabic"/>
          <w:i/>
          <w:iCs/>
          <w:sz w:val="24"/>
          <w:szCs w:val="24"/>
          <w:rtl/>
        </w:rPr>
        <w:t>[اسم</w:t>
      </w:r>
      <w:r w:rsidRPr="00DE0F03">
        <w:rPr>
          <w:rFonts w:ascii="Simplified Arabic" w:hAnsi="Simplified Arabic" w:cs="Simplified Arabic"/>
          <w:sz w:val="24"/>
          <w:szCs w:val="24"/>
          <w:rtl/>
        </w:rPr>
        <w:t xml:space="preserve"> </w:t>
      </w:r>
      <w:r w:rsidRPr="00DE0F03">
        <w:rPr>
          <w:rFonts w:ascii="Simplified Arabic" w:hAnsi="Simplified Arabic" w:cs="Simplified Arabic"/>
          <w:i/>
          <w:iCs/>
          <w:sz w:val="24"/>
          <w:szCs w:val="24"/>
          <w:rtl/>
        </w:rPr>
        <w:t>العضو المعين الذي ستحدده المنطقة بعد الاجتماع</w:t>
      </w:r>
      <w:r w:rsidRPr="00EA4965">
        <w:rPr>
          <w:rFonts w:ascii="Simplified Arabic" w:hAnsi="Simplified Arabic" w:cs="Simplified Arabic"/>
          <w:i/>
          <w:iCs/>
          <w:sz w:val="24"/>
          <w:szCs w:val="24"/>
          <w:rtl/>
        </w:rPr>
        <w:t>]</w:t>
      </w:r>
    </w:p>
    <w:p w14:paraId="77AD752E" w14:textId="77777777" w:rsidR="005F1505" w:rsidRPr="00DE0F03" w:rsidRDefault="005F1505" w:rsidP="005F1505">
      <w:pPr>
        <w:pStyle w:val="NormalNonumber"/>
        <w:tabs>
          <w:tab w:val="clear" w:pos="1247"/>
          <w:tab w:val="clear" w:pos="1814"/>
          <w:tab w:val="clear" w:pos="2381"/>
          <w:tab w:val="clear" w:pos="2948"/>
          <w:tab w:val="clear" w:pos="3515"/>
          <w:tab w:val="clear" w:pos="4082"/>
        </w:tabs>
        <w:bidi/>
        <w:spacing w:line="360" w:lineRule="exact"/>
        <w:ind w:left="2552"/>
        <w:jc w:val="both"/>
        <w:textDirection w:val="tbRlV"/>
        <w:rPr>
          <w:rFonts w:ascii="Simplified Arabic" w:hAnsi="Simplified Arabic" w:cs="Simplified Arabic"/>
          <w:sz w:val="24"/>
          <w:szCs w:val="24"/>
          <w:rtl/>
        </w:rPr>
      </w:pPr>
      <w:r w:rsidRPr="00DE0F03">
        <w:rPr>
          <w:rFonts w:ascii="Simplified Arabic" w:hAnsi="Simplified Arabic" w:cs="Simplified Arabic"/>
          <w:b/>
          <w:bCs/>
          <w:sz w:val="24"/>
          <w:szCs w:val="24"/>
          <w:rtl/>
        </w:rPr>
        <w:t>دول أوروبا الغربية ودول أخرى:</w:t>
      </w:r>
      <w:r w:rsidRPr="00DE0F03">
        <w:rPr>
          <w:rFonts w:ascii="Simplified Arabic" w:hAnsi="Simplified Arabic" w:cs="Simplified Arabic"/>
          <w:sz w:val="24"/>
          <w:szCs w:val="24"/>
          <w:rtl/>
        </w:rPr>
        <w:t xml:space="preserve"> السيدة آن دي يونغي (بلجيكا).</w:t>
      </w:r>
    </w:p>
    <w:p w14:paraId="54756D68" w14:textId="77777777" w:rsidR="005F1505" w:rsidRPr="00DE0F03" w:rsidRDefault="005F1505" w:rsidP="005F1505">
      <w:pPr>
        <w:bidi w:val="0"/>
        <w:rPr>
          <w:rFonts w:cs="Times New Roman"/>
          <w:sz w:val="20"/>
          <w:szCs w:val="20"/>
          <w:rtl/>
          <w:lang w:val="en-GB"/>
        </w:rPr>
      </w:pPr>
      <w:r w:rsidRPr="00DE0F03">
        <w:rPr>
          <w:rtl/>
        </w:rPr>
        <w:br w:type="page"/>
      </w:r>
    </w:p>
    <w:p w14:paraId="37F306D3" w14:textId="77777777" w:rsidR="005F1505" w:rsidRPr="00DE0F03" w:rsidRDefault="005F1505" w:rsidP="005F1505">
      <w:pPr>
        <w:pStyle w:val="Normalnumber"/>
        <w:tabs>
          <w:tab w:val="clear" w:pos="1247"/>
          <w:tab w:val="clear" w:pos="1814"/>
          <w:tab w:val="clear" w:pos="2381"/>
          <w:tab w:val="clear" w:pos="2948"/>
          <w:tab w:val="clear" w:pos="3515"/>
          <w:tab w:val="clear" w:pos="4082"/>
        </w:tabs>
        <w:bidi/>
        <w:spacing w:after="240" w:line="360" w:lineRule="exact"/>
        <w:ind w:left="1134"/>
        <w:jc w:val="both"/>
        <w:textDirection w:val="tbRlV"/>
        <w:rPr>
          <w:rFonts w:ascii="Simplified Arabic" w:hAnsi="Simplified Arabic" w:cs="Simplified Arabic"/>
          <w:b/>
          <w:bCs/>
          <w:sz w:val="28"/>
          <w:szCs w:val="28"/>
          <w:lang w:val="en-GB" w:eastAsia="zh-TW"/>
        </w:rPr>
      </w:pPr>
      <w:r w:rsidRPr="00DE0F03">
        <w:rPr>
          <w:rFonts w:ascii="Simplified Arabic" w:hAnsi="Simplified Arabic" w:cs="Simplified Arabic"/>
          <w:b/>
          <w:bCs/>
          <w:sz w:val="28"/>
          <w:szCs w:val="28"/>
          <w:rtl/>
          <w:lang w:val="en-GB" w:eastAsia="zh-TW"/>
        </w:rPr>
        <w:lastRenderedPageBreak/>
        <w:t>مرفق المقرر ا ب-15/17</w:t>
      </w:r>
    </w:p>
    <w:p w14:paraId="0159908B" w14:textId="77777777" w:rsidR="005F1505" w:rsidRPr="00DE0F03" w:rsidRDefault="005F1505" w:rsidP="005F1505">
      <w:pPr>
        <w:pStyle w:val="CH4"/>
        <w:keepNext w:val="0"/>
        <w:keepLines w:val="0"/>
        <w:tabs>
          <w:tab w:val="clear" w:pos="851"/>
          <w:tab w:val="clear" w:pos="1247"/>
          <w:tab w:val="clear" w:pos="1814"/>
          <w:tab w:val="clear" w:pos="2381"/>
          <w:tab w:val="clear" w:pos="2948"/>
          <w:tab w:val="clear" w:pos="3515"/>
          <w:tab w:val="clear" w:pos="4082"/>
        </w:tabs>
        <w:bidi/>
        <w:spacing w:after="240" w:line="360" w:lineRule="exact"/>
        <w:ind w:left="1134" w:right="0" w:firstLine="0"/>
        <w:jc w:val="both"/>
        <w:textDirection w:val="tbRlV"/>
        <w:rPr>
          <w:rFonts w:ascii="Simplified Arabic" w:hAnsi="Simplified Arabic" w:cs="Simplified Arabic"/>
          <w:bCs/>
          <w:sz w:val="26"/>
          <w:szCs w:val="26"/>
        </w:rPr>
      </w:pPr>
      <w:r w:rsidRPr="00DE0F03">
        <w:rPr>
          <w:rFonts w:ascii="Simplified Arabic" w:hAnsi="Simplified Arabic" w:cs="Simplified Arabic"/>
          <w:bCs/>
          <w:sz w:val="26"/>
          <w:szCs w:val="26"/>
          <w:rtl/>
        </w:rPr>
        <w:t>برنامج عمل اللجنة المعنية بإدارة آلية تعزيز التنفيذ والامتثال لفترة السنتين 2022-2023</w:t>
      </w:r>
    </w:p>
    <w:p w14:paraId="640AC756" w14:textId="77777777" w:rsidR="005F1505" w:rsidRPr="00DE0F03" w:rsidRDefault="005F1505" w:rsidP="005F1505">
      <w:pPr>
        <w:pStyle w:val="CH1"/>
        <w:tabs>
          <w:tab w:val="clear" w:pos="851"/>
          <w:tab w:val="clear" w:pos="1247"/>
          <w:tab w:val="clear" w:pos="1814"/>
          <w:tab w:val="clear" w:pos="2381"/>
          <w:tab w:val="clear" w:pos="2948"/>
          <w:tab w:val="clear" w:pos="3515"/>
          <w:tab w:val="clear" w:pos="4082"/>
        </w:tabs>
        <w:bidi/>
        <w:spacing w:before="0" w:line="360" w:lineRule="exact"/>
        <w:ind w:left="1135" w:right="0" w:hanging="851"/>
        <w:jc w:val="both"/>
        <w:textDirection w:val="tbRlV"/>
        <w:rPr>
          <w:rFonts w:ascii="Simplified Arabic" w:hAnsi="Simplified Arabic" w:cs="Simplified Arabic"/>
          <w:bCs/>
          <w:sz w:val="26"/>
          <w:szCs w:val="26"/>
        </w:rPr>
      </w:pPr>
      <w:r w:rsidRPr="00DE0F03">
        <w:rPr>
          <w:rFonts w:ascii="Simplified Arabic" w:hAnsi="Simplified Arabic" w:cs="Simplified Arabic"/>
          <w:bCs/>
          <w:sz w:val="26"/>
          <w:szCs w:val="26"/>
          <w:rtl/>
        </w:rPr>
        <w:t>أولاً-</w:t>
      </w:r>
      <w:r w:rsidRPr="00DE0F03">
        <w:rPr>
          <w:rFonts w:ascii="Simplified Arabic" w:hAnsi="Simplified Arabic" w:cs="Simplified Arabic"/>
          <w:bCs/>
          <w:sz w:val="26"/>
          <w:szCs w:val="26"/>
          <w:rtl/>
        </w:rPr>
        <w:tab/>
        <w:t>استعراض مسائل الامتثال والتنفيذ العامة في إطار الاتفاقية</w:t>
      </w:r>
    </w:p>
    <w:tbl>
      <w:tblPr>
        <w:bidiVisual/>
        <w:tblW w:w="8363" w:type="dxa"/>
        <w:tblInd w:w="1134" w:type="dxa"/>
        <w:tblBorders>
          <w:top w:val="single" w:sz="4" w:space="0" w:color="auto"/>
          <w:bottom w:val="single" w:sz="4" w:space="0" w:color="auto"/>
          <w:insideH w:val="single" w:sz="4" w:space="0" w:color="auto"/>
        </w:tblBorders>
        <w:tblLayout w:type="fixed"/>
        <w:tblCellMar>
          <w:top w:w="113" w:type="dxa"/>
        </w:tblCellMar>
        <w:tblLook w:val="04A0" w:firstRow="1" w:lastRow="0" w:firstColumn="1" w:lastColumn="0" w:noHBand="0" w:noVBand="1"/>
      </w:tblPr>
      <w:tblGrid>
        <w:gridCol w:w="2832"/>
        <w:gridCol w:w="5531"/>
      </w:tblGrid>
      <w:tr w:rsidR="005F1505" w:rsidRPr="00DE0F03" w14:paraId="16E33AAA" w14:textId="77777777" w:rsidTr="00DA1ACF">
        <w:trPr>
          <w:trHeight w:val="57"/>
          <w:tblHeader/>
        </w:trPr>
        <w:tc>
          <w:tcPr>
            <w:tcW w:w="2832" w:type="dxa"/>
            <w:tcBorders>
              <w:bottom w:val="single" w:sz="12" w:space="0" w:color="auto"/>
            </w:tcBorders>
            <w:shd w:val="clear" w:color="auto" w:fill="auto"/>
            <w:vAlign w:val="bottom"/>
            <w:hideMark/>
          </w:tcPr>
          <w:p w14:paraId="0C8E19D8" w14:textId="77777777" w:rsidR="005F1505" w:rsidRPr="00DE0F03" w:rsidRDefault="005F1505" w:rsidP="00DA1ACF">
            <w:pPr>
              <w:pStyle w:val="Normal-pool"/>
              <w:spacing w:before="60" w:after="60" w:line="30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الهدف</w:t>
            </w:r>
            <w:proofErr w:type="spellEnd"/>
          </w:p>
        </w:tc>
        <w:tc>
          <w:tcPr>
            <w:tcW w:w="5531" w:type="dxa"/>
            <w:tcBorders>
              <w:bottom w:val="single" w:sz="12" w:space="0" w:color="auto"/>
            </w:tcBorders>
            <w:shd w:val="clear" w:color="auto" w:fill="auto"/>
            <w:vAlign w:val="bottom"/>
            <w:hideMark/>
          </w:tcPr>
          <w:p w14:paraId="42822C1D" w14:textId="77777777" w:rsidR="005F1505" w:rsidRPr="00DE0F03" w:rsidRDefault="005F1505" w:rsidP="00DA1ACF">
            <w:pPr>
              <w:pStyle w:val="Normal-pool"/>
              <w:spacing w:before="60" w:after="60" w:line="30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النشاط</w:t>
            </w:r>
            <w:proofErr w:type="spellEnd"/>
          </w:p>
        </w:tc>
      </w:tr>
      <w:tr w:rsidR="005F1505" w:rsidRPr="00DE0F03" w14:paraId="397BF993" w14:textId="77777777" w:rsidTr="00DA1ACF">
        <w:trPr>
          <w:trHeight w:val="57"/>
        </w:trPr>
        <w:tc>
          <w:tcPr>
            <w:tcW w:w="2832" w:type="dxa"/>
            <w:tcBorders>
              <w:top w:val="single" w:sz="12" w:space="0" w:color="auto"/>
            </w:tcBorders>
            <w:shd w:val="clear" w:color="auto" w:fill="auto"/>
            <w:hideMark/>
          </w:tcPr>
          <w:p w14:paraId="264E5557" w14:textId="77777777" w:rsidR="005F1505" w:rsidRPr="00DE0F0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تقديم</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تقارير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الإبلاغ</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الوطنية</w:t>
            </w:r>
            <w:proofErr w:type="spellEnd"/>
            <w:r w:rsidRPr="00DE0F03">
              <w:rPr>
                <w:rFonts w:ascii="Simplified Arabic" w:hAnsi="Simplified Arabic" w:cs="Simplified Arabic" w:hint="cs"/>
                <w:bCs/>
              </w:rPr>
              <w:t xml:space="preserve"> </w:t>
            </w:r>
          </w:p>
          <w:p w14:paraId="262CAC52" w14:textId="77777777" w:rsidR="005F1505" w:rsidRPr="00DE0F03" w:rsidRDefault="005F1505" w:rsidP="00DA1ACF">
            <w:pPr>
              <w:pStyle w:val="Normal-pool"/>
              <w:tabs>
                <w:tab w:val="clear" w:pos="1247"/>
                <w:tab w:val="clear" w:pos="1814"/>
                <w:tab w:val="clear" w:pos="2381"/>
                <w:tab w:val="clear" w:pos="2948"/>
                <w:tab w:val="clear" w:pos="3515"/>
              </w:tabs>
              <w:spacing w:before="60" w:after="60" w:line="300" w:lineRule="exact"/>
              <w:ind w:left="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الكاملة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الوقت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المناسب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بموجب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Pr>
                <w:rFonts w:ascii="Simplified Arabic" w:hAnsi="Simplified Arabic" w:cs="Simplified Arabic" w:hint="eastAsia"/>
              </w:rPr>
              <w:t> </w:t>
            </w:r>
            <w:r w:rsidRPr="00DE0F03">
              <w:rPr>
                <w:rFonts w:ascii="Simplified Arabic" w:hAnsi="Simplified Arabic" w:cs="Simplified Arabic" w:hint="cs"/>
              </w:rPr>
              <w:t xml:space="preserve">3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13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
        </w:tc>
        <w:tc>
          <w:tcPr>
            <w:tcW w:w="5531" w:type="dxa"/>
            <w:tcBorders>
              <w:top w:val="single" w:sz="12" w:space="0" w:color="auto"/>
            </w:tcBorders>
            <w:shd w:val="clear" w:color="auto" w:fill="auto"/>
            <w:hideMark/>
          </w:tcPr>
          <w:p w14:paraId="1ADB84BB" w14:textId="77777777" w:rsidR="005F1505" w:rsidRPr="00DE0F03" w:rsidRDefault="005F1505" w:rsidP="005F1505">
            <w:pPr>
              <w:pStyle w:val="Normal-pool"/>
              <w:numPr>
                <w:ilvl w:val="0"/>
                <w:numId w:val="40"/>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تصنيف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لالتزاماتها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السنوية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للعامين</w:t>
            </w:r>
            <w:proofErr w:type="spellEnd"/>
            <w:r w:rsidRPr="00DE0F03">
              <w:rPr>
                <w:rFonts w:ascii="Simplified Arabic" w:hAnsi="Simplified Arabic" w:cs="Simplified Arabic" w:hint="cs"/>
              </w:rPr>
              <w:t xml:space="preserve"> 2018 و2019، </w:t>
            </w:r>
            <w:proofErr w:type="spellStart"/>
            <w:r w:rsidRPr="00DE0F03">
              <w:rPr>
                <w:rFonts w:ascii="Simplified Arabic" w:hAnsi="Simplified Arabic" w:cs="Simplified Arabic" w:hint="cs"/>
              </w:rPr>
              <w:t>استناداً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الافتراضات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والمعايير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والفئات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اعتمدها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الثالث</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عشر</w:t>
            </w:r>
            <w:proofErr w:type="spellEnd"/>
            <w:r w:rsidRPr="00DE0F03">
              <w:rPr>
                <w:rFonts w:ascii="Simplified Arabic" w:hAnsi="Simplified Arabic" w:cs="Simplified Arabic" w:hint="cs"/>
                <w:vertAlign w:val="superscript"/>
              </w:rPr>
              <w:t>(</w:t>
            </w:r>
            <w:proofErr w:type="gramEnd"/>
            <w:r w:rsidRPr="00DE0F03">
              <w:rPr>
                <w:rStyle w:val="FootnoteReference"/>
                <w:rFonts w:ascii="Simplified Arabic" w:hAnsi="Simplified Arabic" w:cs="Simplified Arabic"/>
              </w:rPr>
              <w:footnoteReference w:id="8"/>
            </w:r>
            <w:r w:rsidRPr="00DE0F03">
              <w:rPr>
                <w:rFonts w:ascii="Simplified Arabic" w:hAnsi="Simplified Arabic" w:cs="Simplified Arabic" w:hint="cs"/>
                <w:vertAlign w:val="superscript"/>
              </w:rPr>
              <w:t xml:space="preserve">) </w:t>
            </w:r>
            <w:proofErr w:type="spellStart"/>
            <w:r w:rsidRPr="00DE0F03">
              <w:rPr>
                <w:rFonts w:ascii="Simplified Arabic" w:hAnsi="Simplified Arabic" w:cs="Simplified Arabic" w:hint="cs"/>
              </w:rPr>
              <w:t>والقيم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المستهدفة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اعتمدها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الخامس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vertAlign w:val="superscript"/>
              </w:rPr>
              <w:t>(</w:t>
            </w:r>
            <w:r w:rsidRPr="00DE0F03">
              <w:rPr>
                <w:rStyle w:val="FootnoteReference"/>
                <w:rFonts w:ascii="Simplified Arabic" w:hAnsi="Simplified Arabic" w:cs="Simplified Arabic"/>
              </w:rPr>
              <w:footnoteReference w:id="9"/>
            </w:r>
            <w:r w:rsidRPr="00DE0F03">
              <w:rPr>
                <w:rFonts w:ascii="Simplified Arabic" w:hAnsi="Simplified Arabic" w:cs="Simplified Arabic" w:hint="cs"/>
                <w:vertAlign w:val="superscript"/>
              </w:rPr>
              <w:t xml:space="preserve">) </w:t>
            </w:r>
            <w:proofErr w:type="spellStart"/>
            <w:r w:rsidRPr="00DE0F03">
              <w:rPr>
                <w:rFonts w:ascii="Simplified Arabic" w:hAnsi="Simplified Arabic" w:cs="Simplified Arabic" w:hint="cs"/>
              </w:rPr>
              <w:t>ونشر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الاقتضاء</w:t>
            </w:r>
            <w:proofErr w:type="spellEnd"/>
            <w:r w:rsidRPr="00DE0F03">
              <w:rPr>
                <w:rFonts w:ascii="Simplified Arabic" w:hAnsi="Simplified Arabic" w:cs="Simplified Arabic" w:hint="cs"/>
              </w:rPr>
              <w:t>؛</w:t>
            </w:r>
          </w:p>
          <w:p w14:paraId="727FC396" w14:textId="77777777" w:rsidR="005F1505" w:rsidRPr="00DE0F03" w:rsidRDefault="005F1505" w:rsidP="005F1505">
            <w:pPr>
              <w:pStyle w:val="Normal-pool"/>
              <w:numPr>
                <w:ilvl w:val="0"/>
                <w:numId w:val="40"/>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تنقيحات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المستهدفة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المشار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10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ب-15/17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تقديمها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w:t>
            </w:r>
            <w:proofErr w:type="spellEnd"/>
            <w:r w:rsidRPr="00DE0F03">
              <w:rPr>
                <w:rFonts w:ascii="Simplified Arabic" w:hAnsi="Simplified Arabic" w:cs="Simplified Arabic" w:hint="cs"/>
              </w:rPr>
              <w:t xml:space="preserve"> 2020 </w:t>
            </w:r>
            <w:proofErr w:type="spellStart"/>
            <w:r w:rsidRPr="00DE0F03">
              <w:rPr>
                <w:rFonts w:ascii="Simplified Arabic" w:hAnsi="Simplified Arabic" w:cs="Simplified Arabic" w:hint="cs"/>
              </w:rPr>
              <w:t>والأعوام</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التالية</w:t>
            </w:r>
            <w:proofErr w:type="spellEnd"/>
            <w:r w:rsidRPr="00DE0F03">
              <w:rPr>
                <w:rFonts w:ascii="Simplified Arabic" w:hAnsi="Simplified Arabic" w:cs="Simplified Arabic" w:hint="cs"/>
              </w:rPr>
              <w:t>؛</w:t>
            </w:r>
            <w:proofErr w:type="gramEnd"/>
          </w:p>
          <w:p w14:paraId="2A7F408A" w14:textId="77777777" w:rsidR="005F1505" w:rsidRPr="00DE0F03" w:rsidRDefault="005F1505" w:rsidP="005F1505">
            <w:pPr>
              <w:pStyle w:val="Normal-pool"/>
              <w:numPr>
                <w:ilvl w:val="0"/>
                <w:numId w:val="40"/>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بالتعاون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الاقتضاء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روتردام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بتطبيق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إجراء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الموافقة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المسبقة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كيميائية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ومبيدات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آفات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معينة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خطرة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متداولة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التجارة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عمليات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إطار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للتعاون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المستدامة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تقييم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مدى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إدراج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لديها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احتياجات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مجال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للإجراءات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معالجة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الاحتياجات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ضمن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إطار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التعاون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أفضل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الممارسات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تُعرَض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لكي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أساس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ذلك</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التقييم</w:t>
            </w:r>
            <w:proofErr w:type="spellEnd"/>
            <w:r w:rsidRPr="00DE0F03">
              <w:rPr>
                <w:rFonts w:ascii="Simplified Arabic" w:hAnsi="Simplified Arabic" w:cs="Simplified Arabic" w:hint="cs"/>
              </w:rPr>
              <w:t>؛</w:t>
            </w:r>
            <w:proofErr w:type="gramEnd"/>
          </w:p>
          <w:p w14:paraId="6EDBA919" w14:textId="77777777" w:rsidR="005F1505" w:rsidRPr="00DE0F03" w:rsidRDefault="005F1505" w:rsidP="005F1505">
            <w:pPr>
              <w:pStyle w:val="Normal-pool"/>
              <w:numPr>
                <w:ilvl w:val="0"/>
                <w:numId w:val="40"/>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إقامة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الحوار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المراكز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والمجلس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التنفيذي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للدعم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المؤسسي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الصعيد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وروتردام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واستكهولم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ميناماتا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والنهج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الاستراتيجي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الكيميائية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الأخرى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مثل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الأغذية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والزراعة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ومرفق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العالمية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الإنمائي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للتنمية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الصناعية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والبنك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ومصارف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أنشطتها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دعم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التزامها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بإرسال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تُعرَض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لكي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w:t>
            </w:r>
          </w:p>
          <w:p w14:paraId="7BF32268" w14:textId="77777777" w:rsidR="005F1505" w:rsidRPr="00DE0F03" w:rsidRDefault="005F1505" w:rsidP="005F1505">
            <w:pPr>
              <w:pStyle w:val="Normal-pool"/>
              <w:numPr>
                <w:ilvl w:val="0"/>
                <w:numId w:val="40"/>
              </w:numPr>
              <w:tabs>
                <w:tab w:val="clear" w:pos="1247"/>
                <w:tab w:val="clear" w:pos="1814"/>
                <w:tab w:val="clear" w:pos="2381"/>
                <w:tab w:val="clear" w:pos="2948"/>
                <w:tab w:val="clear" w:pos="3515"/>
                <w:tab w:val="left" w:pos="425"/>
              </w:tabs>
              <w:spacing w:before="60" w:after="12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ومواصلة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تقييم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التدابير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المدرجة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الفقرتين</w:t>
            </w:r>
            <w:proofErr w:type="spellEnd"/>
            <w:r w:rsidRPr="00DE0F03">
              <w:rPr>
                <w:rFonts w:ascii="Simplified Arabic" w:hAnsi="Simplified Arabic" w:cs="Simplified Arabic" w:hint="cs"/>
              </w:rPr>
              <w:t xml:space="preserve"> 20 (أ) و(ب)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اختصاصات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تكون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مطلوبة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عندما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يقدم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أحد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تقريره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لمدة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عامين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أكثر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المستحق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تقديمه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عام</w:t>
            </w:r>
            <w:proofErr w:type="spellEnd"/>
            <w:r w:rsidRPr="00DE0F03">
              <w:rPr>
                <w:rFonts w:ascii="Simplified Arabic" w:hAnsi="Simplified Arabic" w:cs="Simplified Arabic" w:hint="cs"/>
              </w:rPr>
              <w:t xml:space="preserve"> 2016،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السادس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w:t>
            </w:r>
          </w:p>
        </w:tc>
      </w:tr>
      <w:tr w:rsidR="005F1505" w:rsidRPr="00DE0F03" w14:paraId="5765EE4A" w14:textId="77777777" w:rsidTr="00DA1ACF">
        <w:trPr>
          <w:trHeight w:val="57"/>
        </w:trPr>
        <w:tc>
          <w:tcPr>
            <w:tcW w:w="2832" w:type="dxa"/>
            <w:shd w:val="clear" w:color="auto" w:fill="auto"/>
            <w:hideMark/>
          </w:tcPr>
          <w:p w14:paraId="642257BD" w14:textId="77777777" w:rsidR="005F1505" w:rsidRPr="00DE0F0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الاتجار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غير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القانوني</w:t>
            </w:r>
            <w:proofErr w:type="spellEnd"/>
          </w:p>
          <w:p w14:paraId="148CD79D" w14:textId="77777777" w:rsidR="005F1505" w:rsidRPr="00DE0F03" w:rsidRDefault="005F1505" w:rsidP="00DA1ACF">
            <w:pPr>
              <w:pStyle w:val="Normal-pool"/>
              <w:tabs>
                <w:tab w:val="clear" w:pos="1247"/>
                <w:tab w:val="clear" w:pos="1814"/>
                <w:tab w:val="clear" w:pos="2381"/>
                <w:tab w:val="clear" w:pos="2948"/>
                <w:tab w:val="clear" w:pos="3515"/>
              </w:tabs>
              <w:spacing w:before="60" w:after="60" w:line="300" w:lineRule="exact"/>
              <w:ind w:left="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منع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ومكافحته</w:t>
            </w:r>
            <w:proofErr w:type="spellEnd"/>
          </w:p>
        </w:tc>
        <w:tc>
          <w:tcPr>
            <w:tcW w:w="5531" w:type="dxa"/>
            <w:shd w:val="clear" w:color="auto" w:fill="auto"/>
            <w:hideMark/>
          </w:tcPr>
          <w:p w14:paraId="7A384F5D" w14:textId="77777777" w:rsidR="005F1505" w:rsidRPr="00DE0F03" w:rsidRDefault="005F1505" w:rsidP="00DA1ACF">
            <w:pPr>
              <w:pStyle w:val="Normal-pool"/>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عملية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تحديد</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النطاق</w:t>
            </w:r>
            <w:proofErr w:type="spellEnd"/>
            <w:r w:rsidRPr="00DE0F03">
              <w:rPr>
                <w:rFonts w:ascii="Simplified Arabic" w:hAnsi="Simplified Arabic" w:cs="Simplified Arabic" w:hint="cs"/>
                <w:b/>
                <w:bCs/>
              </w:rPr>
              <w:t>:</w:t>
            </w:r>
          </w:p>
          <w:p w14:paraId="5D499EDD" w14:textId="77777777" w:rsidR="005F1505" w:rsidRPr="00DE0F03" w:rsidRDefault="005F1505" w:rsidP="005F1505">
            <w:pPr>
              <w:pStyle w:val="Normal-pool"/>
              <w:numPr>
                <w:ilvl w:val="0"/>
                <w:numId w:val="41"/>
              </w:numPr>
              <w:tabs>
                <w:tab w:val="clear" w:pos="1247"/>
                <w:tab w:val="clear" w:pos="1814"/>
                <w:tab w:val="clear" w:pos="2381"/>
                <w:tab w:val="clear" w:pos="2948"/>
                <w:tab w:val="clear" w:pos="3515"/>
                <w:tab w:val="left" w:pos="425"/>
              </w:tabs>
              <w:spacing w:before="60" w:after="120" w:line="300" w:lineRule="exact"/>
              <w:ind w:left="425" w:hanging="425"/>
              <w:jc w:val="both"/>
              <w:textDirection w:val="tbRlV"/>
              <w:rPr>
                <w:rFonts w:ascii="Simplified Arabic" w:hAnsi="Simplified Arabic" w:cs="Simplified Arabic"/>
              </w:rPr>
            </w:pP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الواردة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الجدول</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المرسلة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عامي</w:t>
            </w:r>
            <w:proofErr w:type="spellEnd"/>
            <w:r w:rsidRPr="00DE0F03">
              <w:rPr>
                <w:rFonts w:ascii="Simplified Arabic" w:hAnsi="Simplified Arabic" w:cs="Simplified Arabic" w:hint="cs"/>
              </w:rPr>
              <w:t xml:space="preserve"> 2018 و2019 </w:t>
            </w:r>
            <w:proofErr w:type="spellStart"/>
            <w:r w:rsidRPr="00DE0F03">
              <w:rPr>
                <w:rFonts w:ascii="Simplified Arabic" w:hAnsi="Simplified Arabic" w:cs="Simplified Arabic" w:hint="cs"/>
              </w:rPr>
              <w:t>بغية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يلي</w:t>
            </w:r>
            <w:proofErr w:type="spellEnd"/>
            <w:r w:rsidRPr="00DE0F03">
              <w:rPr>
                <w:rFonts w:ascii="Simplified Arabic" w:hAnsi="Simplified Arabic" w:cs="Simplified Arabic" w:hint="cs"/>
              </w:rPr>
              <w:t>: ’</w:t>
            </w:r>
            <w:proofErr w:type="gramStart"/>
            <w:r w:rsidRPr="00DE0F03">
              <w:rPr>
                <w:rFonts w:ascii="Simplified Arabic" w:hAnsi="Simplified Arabic" w:cs="Simplified Arabic" w:hint="cs"/>
              </w:rPr>
              <w:t xml:space="preserve">1‘ </w:t>
            </w:r>
            <w:proofErr w:type="spellStart"/>
            <w:r w:rsidRPr="00DE0F03">
              <w:rPr>
                <w:rFonts w:ascii="Simplified Arabic" w:hAnsi="Simplified Arabic" w:cs="Simplified Arabic" w:hint="cs"/>
              </w:rPr>
              <w:t>عدد</w:t>
            </w:r>
            <w:proofErr w:type="spellEnd"/>
            <w:proofErr w:type="gram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حالات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lastRenderedPageBreak/>
              <w:t>القانوني</w:t>
            </w:r>
            <w:proofErr w:type="spellEnd"/>
            <w:r w:rsidRPr="00DE0F03">
              <w:rPr>
                <w:rFonts w:ascii="Simplified Arabic" w:hAnsi="Simplified Arabic" w:cs="Simplified Arabic" w:hint="cs"/>
              </w:rPr>
              <w:t xml:space="preserve">؛ ’2‘ </w:t>
            </w:r>
            <w:proofErr w:type="spellStart"/>
            <w:r w:rsidRPr="00DE0F03">
              <w:rPr>
                <w:rFonts w:ascii="Simplified Arabic" w:hAnsi="Simplified Arabic" w:cs="Simplified Arabic" w:hint="cs"/>
              </w:rPr>
              <w:t>وبأي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أنواع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تعلقت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الحالات</w:t>
            </w:r>
            <w:proofErr w:type="spellEnd"/>
            <w:r w:rsidRPr="00DE0F03">
              <w:rPr>
                <w:rFonts w:ascii="Simplified Arabic" w:hAnsi="Simplified Arabic" w:cs="Simplified Arabic" w:hint="cs"/>
              </w:rPr>
              <w:t xml:space="preserve">؛ ’3‘ </w:t>
            </w:r>
            <w:proofErr w:type="spellStart"/>
            <w:r w:rsidRPr="00DE0F03">
              <w:rPr>
                <w:rFonts w:ascii="Simplified Arabic" w:hAnsi="Simplified Arabic" w:cs="Simplified Arabic" w:hint="cs"/>
              </w:rPr>
              <w:t>وفي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المناطق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حدثت</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وكيف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تمت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تسويتها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استناداً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نتائج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الاستعراض</w:t>
            </w:r>
            <w:proofErr w:type="spellEnd"/>
            <w:r w:rsidRPr="00DE0F03">
              <w:rPr>
                <w:rFonts w:ascii="Simplified Arabic" w:hAnsi="Simplified Arabic" w:cs="Simplified Arabic" w:hint="cs"/>
              </w:rPr>
              <w:t>؛</w:t>
            </w:r>
          </w:p>
          <w:p w14:paraId="6C607CB1" w14:textId="77777777" w:rsidR="005F1505" w:rsidRPr="00DE0F03" w:rsidRDefault="005F1505" w:rsidP="005F1505">
            <w:pPr>
              <w:pStyle w:val="Normal-pool"/>
              <w:numPr>
                <w:ilvl w:val="0"/>
                <w:numId w:val="41"/>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الجدول</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نموذج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الإبلاغ</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للتأكد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سيستفيد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تيسير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الاطلاع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ترسلها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حالات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وتيسير</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تحليلها</w:t>
            </w:r>
            <w:proofErr w:type="spellEnd"/>
            <w:r w:rsidRPr="00DE0F03">
              <w:rPr>
                <w:rFonts w:ascii="Simplified Arabic" w:hAnsi="Simplified Arabic" w:cs="Simplified Arabic" w:hint="cs"/>
              </w:rPr>
              <w:t>؛</w:t>
            </w:r>
            <w:proofErr w:type="gramEnd"/>
          </w:p>
          <w:p w14:paraId="4C9C8E88" w14:textId="77777777" w:rsidR="005F1505" w:rsidRPr="00DE0F03" w:rsidRDefault="005F1505" w:rsidP="005F1505">
            <w:pPr>
              <w:pStyle w:val="Normal-pool"/>
              <w:numPr>
                <w:ilvl w:val="0"/>
                <w:numId w:val="41"/>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أوجه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التباين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أبلغت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الحالات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يمكن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تشكل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اتجاراً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مشروع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استناداً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نتيجة</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الاستعراض</w:t>
            </w:r>
            <w:proofErr w:type="spellEnd"/>
            <w:r w:rsidRPr="00DE0F03">
              <w:rPr>
                <w:rFonts w:ascii="Simplified Arabic" w:hAnsi="Simplified Arabic" w:cs="Simplified Arabic" w:hint="cs"/>
              </w:rPr>
              <w:t>؛</w:t>
            </w:r>
            <w:proofErr w:type="gramEnd"/>
          </w:p>
          <w:p w14:paraId="2D14D78A" w14:textId="77777777" w:rsidR="005F1505" w:rsidRPr="00DE0F03" w:rsidRDefault="005F1505" w:rsidP="005F1505">
            <w:pPr>
              <w:pStyle w:val="Normal-pool"/>
              <w:numPr>
                <w:ilvl w:val="0"/>
                <w:numId w:val="41"/>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نموذج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الإبلاغ</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الحالات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المؤكدة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للتأكد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سيستفيد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إجراء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عليه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استناداً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نتائج</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الاستعراض</w:t>
            </w:r>
            <w:proofErr w:type="spellEnd"/>
            <w:r w:rsidRPr="00DE0F03">
              <w:rPr>
                <w:rFonts w:ascii="Simplified Arabic" w:hAnsi="Simplified Arabic" w:cs="Simplified Arabic" w:hint="cs"/>
                <w:vertAlign w:val="superscript"/>
              </w:rPr>
              <w:t>(</w:t>
            </w:r>
            <w:proofErr w:type="gramEnd"/>
            <w:r w:rsidRPr="00DE0F03">
              <w:rPr>
                <w:rStyle w:val="FootnoteReference"/>
                <w:rFonts w:ascii="Simplified Arabic" w:hAnsi="Simplified Arabic" w:cs="Simplified Arabic"/>
              </w:rPr>
              <w:footnoteReference w:id="10"/>
            </w:r>
            <w:r w:rsidRPr="00DE0F03">
              <w:rPr>
                <w:rFonts w:ascii="Simplified Arabic" w:hAnsi="Simplified Arabic" w:cs="Simplified Arabic" w:hint="cs"/>
                <w:vertAlign w:val="superscript"/>
              </w:rPr>
              <w:t>)</w:t>
            </w:r>
            <w:r w:rsidRPr="00DE0F03">
              <w:rPr>
                <w:rFonts w:ascii="Simplified Arabic" w:hAnsi="Simplified Arabic" w:cs="Simplified Arabic" w:hint="cs"/>
                <w:lang w:bidi="ar-EG"/>
              </w:rPr>
              <w:t>؛</w:t>
            </w:r>
          </w:p>
          <w:p w14:paraId="139DA4B3" w14:textId="77777777" w:rsidR="005F1505" w:rsidRPr="00DE0F03" w:rsidRDefault="005F1505" w:rsidP="005F1505">
            <w:pPr>
              <w:pStyle w:val="Normal-pool"/>
              <w:numPr>
                <w:ilvl w:val="0"/>
                <w:numId w:val="41"/>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المقدمة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الجدولين</w:t>
            </w:r>
            <w:proofErr w:type="spellEnd"/>
            <w:r w:rsidRPr="00DE0F03">
              <w:rPr>
                <w:rFonts w:ascii="Simplified Arabic" w:hAnsi="Simplified Arabic" w:cs="Simplified Arabic" w:hint="cs"/>
              </w:rPr>
              <w:t xml:space="preserve"> 4 و5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التقريرين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لعامي</w:t>
            </w:r>
            <w:proofErr w:type="spellEnd"/>
            <w:r w:rsidRPr="00DE0F03">
              <w:rPr>
                <w:rFonts w:ascii="Simplified Arabic" w:hAnsi="Simplified Arabic" w:cs="Simplified Arabic" w:hint="cs"/>
              </w:rPr>
              <w:t xml:space="preserve"> 2018 و2019 </w:t>
            </w:r>
            <w:proofErr w:type="spellStart"/>
            <w:r w:rsidRPr="00DE0F03">
              <w:rPr>
                <w:rFonts w:ascii="Simplified Arabic" w:hAnsi="Simplified Arabic" w:cs="Simplified Arabic" w:hint="cs"/>
              </w:rPr>
              <w:t>قد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يساعد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أوجه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التباين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أبلغت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ويمكن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تشكل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حالات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وفقاً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لذلك</w:t>
            </w:r>
            <w:proofErr w:type="spellEnd"/>
            <w:r w:rsidRPr="00DE0F03">
              <w:rPr>
                <w:rFonts w:ascii="Simplified Arabic" w:hAnsi="Simplified Arabic" w:cs="Simplified Arabic" w:hint="cs"/>
              </w:rPr>
              <w:t>.</w:t>
            </w:r>
          </w:p>
          <w:p w14:paraId="21C41928" w14:textId="77777777" w:rsidR="005F1505" w:rsidRPr="00DE0F03" w:rsidRDefault="005F1505" w:rsidP="00DA1ACF">
            <w:pPr>
              <w:pStyle w:val="Normal-pool"/>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آليات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التنسيق</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الوطنية</w:t>
            </w:r>
            <w:proofErr w:type="spellEnd"/>
          </w:p>
          <w:p w14:paraId="7B05DADC" w14:textId="77777777" w:rsidR="005F1505" w:rsidRPr="00DE0F03" w:rsidRDefault="005F1505" w:rsidP="005F1505">
            <w:pPr>
              <w:pStyle w:val="Normal-pool"/>
              <w:numPr>
                <w:ilvl w:val="0"/>
                <w:numId w:val="42"/>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تضطلع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والمراكز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وشبكة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الاتحاد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الأوروبي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لتطبيق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وإنفاذه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للشرطة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الجنائية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ومكتب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بالمخدرات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والجريمة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الجمارك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العالمية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وغيرها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مساعدة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التنسيق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السلطات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المختصة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الإنفاذ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لديها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استناداً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نتيجة</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الرصد</w:t>
            </w:r>
            <w:proofErr w:type="spellEnd"/>
            <w:r w:rsidRPr="00DE0F03">
              <w:rPr>
                <w:rFonts w:ascii="Simplified Arabic" w:hAnsi="Simplified Arabic" w:cs="Simplified Arabic" w:hint="cs"/>
              </w:rPr>
              <w:t>؛</w:t>
            </w:r>
            <w:proofErr w:type="gramEnd"/>
          </w:p>
          <w:p w14:paraId="2AAA2721" w14:textId="77777777" w:rsidR="005F1505" w:rsidRPr="00DE0F03" w:rsidRDefault="005F1505" w:rsidP="005F1505">
            <w:pPr>
              <w:pStyle w:val="Normal-pool"/>
              <w:numPr>
                <w:ilvl w:val="0"/>
                <w:numId w:val="42"/>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تضطلع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التنسيق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وزيادة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تدفق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السلطات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المختصة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الإنفاذ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لديها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والأمانة</w:t>
            </w:r>
            <w:proofErr w:type="spellEnd"/>
            <w:r w:rsidRPr="00DE0F03">
              <w:rPr>
                <w:rFonts w:ascii="Simplified Arabic" w:hAnsi="Simplified Arabic" w:cs="Simplified Arabic" w:hint="cs"/>
              </w:rPr>
              <w:t>؛</w:t>
            </w:r>
            <w:proofErr w:type="gramEnd"/>
          </w:p>
          <w:p w14:paraId="5CABE48B" w14:textId="77777777" w:rsidR="005F1505" w:rsidRPr="00DE0F03" w:rsidRDefault="005F1505" w:rsidP="005F1505">
            <w:pPr>
              <w:pStyle w:val="Normal-pool"/>
              <w:numPr>
                <w:ilvl w:val="0"/>
                <w:numId w:val="42"/>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للمادة</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w:t>
            </w:r>
          </w:p>
          <w:p w14:paraId="496B943E" w14:textId="77777777" w:rsidR="005F1505" w:rsidRPr="00DE0F03" w:rsidRDefault="005F1505" w:rsidP="00DA1ACF">
            <w:pPr>
              <w:pStyle w:val="Normal-pool"/>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الردود</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على</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السؤال</w:t>
            </w:r>
            <w:proofErr w:type="spellEnd"/>
            <w:r w:rsidRPr="00DE0F03">
              <w:rPr>
                <w:rFonts w:ascii="Simplified Arabic" w:hAnsi="Simplified Arabic" w:cs="Simplified Arabic" w:hint="cs"/>
                <w:b/>
                <w:bCs/>
              </w:rPr>
              <w:t xml:space="preserve"> 1 (ج) </w:t>
            </w:r>
            <w:proofErr w:type="spellStart"/>
            <w:r w:rsidRPr="00DE0F03">
              <w:rPr>
                <w:rFonts w:ascii="Simplified Arabic" w:hAnsi="Simplified Arabic" w:cs="Simplified Arabic" w:hint="cs"/>
                <w:b/>
                <w:bCs/>
              </w:rPr>
              <w:t>من</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نموذج</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الإبلاغ</w:t>
            </w:r>
            <w:proofErr w:type="spellEnd"/>
          </w:p>
          <w:p w14:paraId="3F22F001" w14:textId="77777777" w:rsidR="005F1505" w:rsidRPr="00DE0F03" w:rsidRDefault="005F1505" w:rsidP="005F1505">
            <w:pPr>
              <w:pStyle w:val="Normal-pool"/>
              <w:numPr>
                <w:ilvl w:val="0"/>
                <w:numId w:val="43"/>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نصوص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التشريعات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وغيرها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التدابير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اعتمدتها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وإنفاذها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وردودها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السؤال</w:t>
            </w:r>
            <w:proofErr w:type="spellEnd"/>
            <w:r w:rsidRPr="00DE0F03">
              <w:rPr>
                <w:rFonts w:ascii="Simplified Arabic" w:hAnsi="Simplified Arabic" w:cs="Simplified Arabic" w:hint="cs"/>
              </w:rPr>
              <w:t xml:space="preserve"> 1 (ج)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لعام</w:t>
            </w:r>
            <w:proofErr w:type="spellEnd"/>
            <w:r w:rsidRPr="00DE0F03">
              <w:rPr>
                <w:rFonts w:ascii="Simplified Arabic" w:hAnsi="Simplified Arabic" w:cs="Simplified Arabic" w:hint="cs"/>
              </w:rPr>
              <w:t xml:space="preserve"> 2019، </w:t>
            </w:r>
            <w:proofErr w:type="spellStart"/>
            <w:r w:rsidRPr="00DE0F03">
              <w:rPr>
                <w:rFonts w:ascii="Simplified Arabic" w:hAnsi="Simplified Arabic" w:cs="Simplified Arabic" w:hint="cs"/>
              </w:rPr>
              <w:t>وتصنيف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أداء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حيث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باستخدام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قائمة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المُشرِّع</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المرجعية</w:t>
            </w:r>
            <w:proofErr w:type="spellEnd"/>
            <w:r w:rsidRPr="00DE0F03">
              <w:rPr>
                <w:rFonts w:ascii="Simplified Arabic" w:hAnsi="Simplified Arabic" w:cs="Simplified Arabic" w:hint="cs"/>
                <w:vertAlign w:val="superscript"/>
              </w:rPr>
              <w:t>(</w:t>
            </w:r>
            <w:proofErr w:type="gramEnd"/>
            <w:r w:rsidRPr="00DE0F03">
              <w:rPr>
                <w:rStyle w:val="FootnoteReference"/>
                <w:rFonts w:ascii="Simplified Arabic" w:hAnsi="Simplified Arabic" w:cs="Simplified Arabic"/>
              </w:rPr>
              <w:footnoteReference w:id="11"/>
            </w:r>
            <w:r w:rsidRPr="00DE0F03">
              <w:rPr>
                <w:rFonts w:ascii="Simplified Arabic" w:hAnsi="Simplified Arabic" w:cs="Simplified Arabic" w:hint="cs"/>
                <w:vertAlign w:val="superscript"/>
              </w:rPr>
              <w:t>)</w:t>
            </w:r>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يتعلق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بالالتزامات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المحددة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w:t>
            </w:r>
          </w:p>
          <w:p w14:paraId="3A5E3C44" w14:textId="77777777" w:rsidR="005F1505" w:rsidRPr="00DE0F03" w:rsidRDefault="005F1505" w:rsidP="005F1505">
            <w:pPr>
              <w:pStyle w:val="Normal-pool"/>
              <w:numPr>
                <w:ilvl w:val="0"/>
                <w:numId w:val="43"/>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أفضل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الممارسات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ودراسات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الحالة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بإنفاذ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التشريعات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والمعاقبة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كيفية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تقييم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الجهود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الحالية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تبذلها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ستحقق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هدفها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إنجاز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أفضل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الممارسات</w:t>
            </w:r>
            <w:proofErr w:type="spellEnd"/>
            <w:r w:rsidRPr="00DE0F03">
              <w:rPr>
                <w:rFonts w:ascii="Simplified Arabic" w:hAnsi="Simplified Arabic" w:cs="Simplified Arabic" w:hint="cs"/>
              </w:rPr>
              <w:t>.</w:t>
            </w:r>
          </w:p>
          <w:p w14:paraId="4C3AD7BE" w14:textId="77777777" w:rsidR="005F1505" w:rsidRPr="00DE0F03" w:rsidRDefault="005F1505" w:rsidP="00DA1ACF">
            <w:pPr>
              <w:pStyle w:val="Normal-pool"/>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lastRenderedPageBreak/>
              <w:t>الحوار</w:t>
            </w:r>
            <w:proofErr w:type="spellEnd"/>
          </w:p>
          <w:p w14:paraId="0873621A" w14:textId="77777777" w:rsidR="005F1505" w:rsidRPr="00DE0F03" w:rsidRDefault="005F1505" w:rsidP="00DA1ACF">
            <w:pPr>
              <w:pStyle w:val="Normal-pool"/>
              <w:spacing w:before="60" w:after="12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إقامة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حوار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المراكز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والمنظمات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وهيئات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التابعة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للاتفاقات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الأخرى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المتعددة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أنشطتها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دعم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ومكافحته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ستُعرَض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لكي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w:t>
            </w:r>
          </w:p>
          <w:p w14:paraId="4D873D43" w14:textId="77777777" w:rsidR="005F1505" w:rsidRPr="00DE0F03" w:rsidRDefault="005F1505" w:rsidP="00DA1ACF">
            <w:pPr>
              <w:pStyle w:val="Normal-pool"/>
              <w:keepNext/>
              <w:keepLines/>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الترتيبات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التعاونية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بما</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في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ذلك</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الشبكة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البيئية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لترشيد</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الامتثال</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التنظيمي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بشأن</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الاتجار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غير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القانوني</w:t>
            </w:r>
            <w:proofErr w:type="spellEnd"/>
          </w:p>
          <w:p w14:paraId="5846078F" w14:textId="77777777" w:rsidR="005F1505" w:rsidRPr="00DE0F03" w:rsidRDefault="005F1505" w:rsidP="00DA1ACF">
            <w:pPr>
              <w:pStyle w:val="Normal-pool"/>
              <w:keepNext/>
              <w:keepLine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إبقاء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الشبكة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ولا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التطورات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تنبثق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تقدمها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رهناً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باعتمادها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الاجتماع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المقبل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ينبغي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مواصلة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الترتيبات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بالشبكة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البيئية</w:t>
            </w:r>
            <w:proofErr w:type="spellEnd"/>
            <w:r w:rsidRPr="00DE0F03">
              <w:rPr>
                <w:rFonts w:ascii="Simplified Arabic" w:hAnsi="Simplified Arabic" w:cs="Simplified Arabic" w:hint="cs"/>
              </w:rPr>
              <w:t>.</w:t>
            </w:r>
          </w:p>
          <w:p w14:paraId="119CD916" w14:textId="77777777" w:rsidR="005F1505" w:rsidRPr="00DE0F03" w:rsidRDefault="005F1505" w:rsidP="00DA1ACF">
            <w:pPr>
              <w:pStyle w:val="Normal-pool"/>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rPr>
              <w:t>نشر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التوجيهات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والأدوات</w:t>
            </w:r>
            <w:proofErr w:type="spellEnd"/>
          </w:p>
          <w:p w14:paraId="4940D631" w14:textId="77777777" w:rsidR="005F1505" w:rsidRPr="00DE0F03" w:rsidRDefault="005F1505" w:rsidP="00DA1ACF">
            <w:pPr>
              <w:pStyle w:val="Normal-pool"/>
              <w:spacing w:before="60" w:after="12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تضطلع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والمراكز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وشبكة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الاتحاد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الأوروبي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لتطبيق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وإنفاذه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للشرطة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الجنائية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ومكتب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بالمخدرات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والجريمة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الجمارك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العالمية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وغيرها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نشر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والأدوات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وُضِعت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إطار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ومكافحته</w:t>
            </w:r>
            <w:proofErr w:type="spellEnd"/>
            <w:r w:rsidRPr="00DE0F03">
              <w:rPr>
                <w:rFonts w:ascii="Simplified Arabic" w:hAnsi="Simplified Arabic" w:cs="Simplified Arabic" w:hint="cs"/>
              </w:rPr>
              <w:t>.</w:t>
            </w:r>
          </w:p>
        </w:tc>
      </w:tr>
      <w:tr w:rsidR="005F1505" w:rsidRPr="00DE0F03" w14:paraId="6BF790DD" w14:textId="77777777" w:rsidTr="00DA1ACF">
        <w:trPr>
          <w:trHeight w:val="57"/>
        </w:trPr>
        <w:tc>
          <w:tcPr>
            <w:tcW w:w="2832" w:type="dxa"/>
            <w:shd w:val="clear" w:color="auto" w:fill="auto"/>
            <w:hideMark/>
          </w:tcPr>
          <w:p w14:paraId="7C737A93" w14:textId="77777777" w:rsidR="005F1505" w:rsidRPr="004D3E4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b/>
                <w:bCs/>
                <w:lang w:bidi="en-GB"/>
              </w:rPr>
            </w:pPr>
            <w:proofErr w:type="spellStart"/>
            <w:r w:rsidRPr="00DE0F03">
              <w:rPr>
                <w:rFonts w:ascii="Simplified Arabic" w:hAnsi="Simplified Arabic" w:cs="Simplified Arabic" w:hint="cs"/>
                <w:b/>
                <w:bCs/>
              </w:rPr>
              <w:lastRenderedPageBreak/>
              <w:t>التشريعات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الوطنية</w:t>
            </w:r>
            <w:proofErr w:type="spellEnd"/>
          </w:p>
          <w:p w14:paraId="7532569B" w14:textId="77777777" w:rsidR="005F1505" w:rsidRPr="00DE0F03" w:rsidRDefault="005F1505" w:rsidP="00DA1ACF">
            <w:pPr>
              <w:pStyle w:val="Normal-pool"/>
              <w:tabs>
                <w:tab w:val="clear" w:pos="1247"/>
                <w:tab w:val="clear" w:pos="1814"/>
                <w:tab w:val="clear" w:pos="2381"/>
                <w:tab w:val="clear" w:pos="2948"/>
                <w:tab w:val="clear" w:pos="3515"/>
              </w:tabs>
              <w:spacing w:before="60" w:after="60" w:line="300" w:lineRule="exact"/>
              <w:ind w:left="425" w:right="172"/>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وال</w:t>
            </w:r>
            <w:proofErr w:type="spellEnd"/>
            <w:r>
              <w:rPr>
                <w:rFonts w:ascii="Simplified Arabic" w:hAnsi="Simplified Arabic" w:cs="Simplified Arabic" w:hint="cs"/>
              </w:rPr>
              <w:t>ــ</w:t>
            </w:r>
            <w:r w:rsidRPr="00DE0F03">
              <w:rPr>
                <w:rFonts w:ascii="Simplified Arabic" w:hAnsi="Simplified Arabic" w:cs="Simplified Arabic" w:hint="cs"/>
              </w:rPr>
              <w:t>ف</w:t>
            </w:r>
            <w:r>
              <w:rPr>
                <w:rFonts w:ascii="Simplified Arabic" w:hAnsi="Simplified Arabic" w:cs="Simplified Arabic" w:hint="cs"/>
              </w:rPr>
              <w:t>ــــــ</w:t>
            </w:r>
            <w:r w:rsidRPr="00DE0F03">
              <w:rPr>
                <w:rFonts w:ascii="Simplified Arabic" w:hAnsi="Simplified Arabic" w:cs="Simplified Arabic" w:hint="cs"/>
              </w:rPr>
              <w:t>ق</w:t>
            </w:r>
            <w:r>
              <w:rPr>
                <w:rFonts w:ascii="Simplified Arabic" w:hAnsi="Simplified Arabic" w:cs="Simplified Arabic" w:hint="cs"/>
              </w:rPr>
              <w:t>ــــــ</w:t>
            </w:r>
            <w:proofErr w:type="spellStart"/>
            <w:r w:rsidRPr="00DE0F03">
              <w:rPr>
                <w:rFonts w:ascii="Simplified Arabic" w:hAnsi="Simplified Arabic" w:cs="Simplified Arabic" w:hint="cs"/>
              </w:rPr>
              <w:t>رة</w:t>
            </w:r>
            <w:proofErr w:type="spellEnd"/>
            <w:r w:rsidRPr="00DE0F03">
              <w:rPr>
                <w:rFonts w:ascii="Simplified Arabic" w:hAnsi="Simplified Arabic" w:cs="Simplified Arabic" w:hint="cs"/>
              </w:rPr>
              <w:t xml:space="preserve"> 5 م</w:t>
            </w:r>
            <w:r>
              <w:rPr>
                <w:rFonts w:ascii="Simplified Arabic" w:hAnsi="Simplified Arabic" w:cs="Simplified Arabic" w:hint="cs"/>
              </w:rPr>
              <w:t>ــــــ</w:t>
            </w:r>
            <w:r w:rsidRPr="00DE0F03">
              <w:rPr>
                <w:rFonts w:ascii="Simplified Arabic" w:hAnsi="Simplified Arabic" w:cs="Simplified Arabic" w:hint="cs"/>
              </w:rPr>
              <w:t xml:space="preserve">ن </w:t>
            </w:r>
            <w:proofErr w:type="spellStart"/>
            <w:r w:rsidRPr="00DE0F03">
              <w:rPr>
                <w:rFonts w:ascii="Simplified Arabic" w:hAnsi="Simplified Arabic" w:cs="Simplified Arabic" w:hint="cs"/>
              </w:rPr>
              <w:t>ال</w:t>
            </w:r>
            <w:proofErr w:type="spellEnd"/>
            <w:r>
              <w:rPr>
                <w:rFonts w:ascii="Simplified Arabic" w:hAnsi="Simplified Arabic" w:cs="Simplified Arabic" w:hint="cs"/>
              </w:rPr>
              <w:t>ــ</w:t>
            </w:r>
            <w:r w:rsidRPr="00DE0F03">
              <w:rPr>
                <w:rFonts w:ascii="Simplified Arabic" w:hAnsi="Simplified Arabic" w:cs="Simplified Arabic" w:hint="cs"/>
              </w:rPr>
              <w:t>م</w:t>
            </w:r>
            <w:r>
              <w:rPr>
                <w:rFonts w:ascii="Simplified Arabic" w:hAnsi="Simplified Arabic" w:cs="Simplified Arabic" w:hint="cs"/>
              </w:rPr>
              <w:t>ــــــ</w:t>
            </w:r>
            <w:proofErr w:type="spellStart"/>
            <w:r w:rsidRPr="00DE0F03">
              <w:rPr>
                <w:rFonts w:ascii="Simplified Arabic" w:hAnsi="Simplified Arabic" w:cs="Simplified Arabic" w:hint="cs"/>
              </w:rPr>
              <w:t>ادة</w:t>
            </w:r>
            <w:proofErr w:type="spellEnd"/>
            <w:r w:rsidRPr="00DE0F03">
              <w:rPr>
                <w:rFonts w:ascii="Simplified Arabic" w:hAnsi="Simplified Arabic" w:cs="Simplified Arabic" w:hint="cs"/>
              </w:rPr>
              <w:t xml:space="preserve"> 9 م</w:t>
            </w:r>
            <w:r>
              <w:rPr>
                <w:rFonts w:ascii="Simplified Arabic" w:hAnsi="Simplified Arabic" w:cs="Simplified Arabic" w:hint="cs"/>
              </w:rPr>
              <w:t>ــــ</w:t>
            </w:r>
            <w:r w:rsidRPr="00DE0F03">
              <w:rPr>
                <w:rFonts w:ascii="Simplified Arabic" w:hAnsi="Simplified Arabic" w:cs="Simplified Arabic" w:hint="cs"/>
              </w:rPr>
              <w:t xml:space="preserve">ن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لهما</w:t>
            </w:r>
            <w:proofErr w:type="spellEnd"/>
            <w:r w:rsidRPr="00DE0F03">
              <w:rPr>
                <w:rFonts w:ascii="Simplified Arabic" w:hAnsi="Simplified Arabic" w:cs="Simplified Arabic" w:hint="cs"/>
              </w:rPr>
              <w:t xml:space="preserve"> </w:t>
            </w:r>
          </w:p>
        </w:tc>
        <w:tc>
          <w:tcPr>
            <w:tcW w:w="5531" w:type="dxa"/>
            <w:shd w:val="clear" w:color="auto" w:fill="auto"/>
            <w:hideMark/>
          </w:tcPr>
          <w:p w14:paraId="2731663B"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دعوة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إجراء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ذاتي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لتشريعاتها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باستخدام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القائمة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المرجعية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للمشرِّع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الاتجاهات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فيها</w:t>
            </w:r>
            <w:proofErr w:type="spellEnd"/>
            <w:r w:rsidRPr="00DE0F03">
              <w:rPr>
                <w:rFonts w:ascii="Simplified Arabic" w:hAnsi="Simplified Arabic" w:cs="Simplified Arabic" w:hint="cs"/>
              </w:rPr>
              <w:t>؛</w:t>
            </w:r>
            <w:proofErr w:type="gramEnd"/>
          </w:p>
          <w:p w14:paraId="2D2BAAE5"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الذي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أحرزته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صعيد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إرسال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نصوص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التشريعات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وغيرها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التدابير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تعتمدها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وإنفاذها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الأمانة</w:t>
            </w:r>
            <w:proofErr w:type="spellEnd"/>
            <w:r w:rsidRPr="00DE0F03">
              <w:rPr>
                <w:rFonts w:ascii="Simplified Arabic" w:hAnsi="Simplified Arabic" w:cs="Simplified Arabic" w:hint="cs"/>
              </w:rPr>
              <w:t>؛</w:t>
            </w:r>
            <w:proofErr w:type="gramEnd"/>
          </w:p>
          <w:p w14:paraId="7F47D546"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الطلبات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تلقتها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للحصول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تيسير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أطر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قانونية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فضلاً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طلبات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المساعدة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تنفذها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والفقرة</w:t>
            </w:r>
            <w:proofErr w:type="spellEnd"/>
            <w:r w:rsidRPr="00DE0F03">
              <w:rPr>
                <w:rFonts w:ascii="Simplified Arabic" w:hAnsi="Simplified Arabic" w:cs="Simplified Arabic" w:hint="cs"/>
              </w:rPr>
              <w:t xml:space="preserve"> 5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w:t>
            </w:r>
            <w:proofErr w:type="gramEnd"/>
          </w:p>
          <w:p w14:paraId="01CDE694"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رصد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تضطلع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تدعمها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المراكز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الأخرى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مساعدة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أطر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قانونية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بازل</w:t>
            </w:r>
            <w:proofErr w:type="spellEnd"/>
            <w:r w:rsidRPr="00DE0F03">
              <w:rPr>
                <w:rFonts w:ascii="Simplified Arabic" w:hAnsi="Simplified Arabic" w:cs="Simplified Arabic" w:hint="cs"/>
              </w:rPr>
              <w:t>؛</w:t>
            </w:r>
            <w:proofErr w:type="gramEnd"/>
          </w:p>
          <w:p w14:paraId="531370E4"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كيفية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والفقرة</w:t>
            </w:r>
            <w:proofErr w:type="spellEnd"/>
            <w:r w:rsidRPr="00DE0F03">
              <w:rPr>
                <w:rFonts w:ascii="Simplified Arabic" w:hAnsi="Simplified Arabic" w:cs="Simplified Arabic" w:hint="cs"/>
              </w:rPr>
              <w:t xml:space="preserve"> 5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والامتثال</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لهما</w:t>
            </w:r>
            <w:proofErr w:type="spellEnd"/>
            <w:r w:rsidRPr="00DE0F03">
              <w:rPr>
                <w:rFonts w:ascii="Simplified Arabic" w:hAnsi="Simplified Arabic" w:cs="Simplified Arabic" w:hint="cs"/>
              </w:rPr>
              <w:t>؛</w:t>
            </w:r>
            <w:proofErr w:type="gramEnd"/>
          </w:p>
          <w:p w14:paraId="2BDEAC5B"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عند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الاضطلاع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المدرجة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الفرعية</w:t>
            </w:r>
            <w:proofErr w:type="spellEnd"/>
            <w:r w:rsidRPr="00DE0F03">
              <w:rPr>
                <w:rFonts w:ascii="Simplified Arabic" w:hAnsi="Simplified Arabic" w:cs="Simplified Arabic" w:hint="cs"/>
              </w:rPr>
              <w:t xml:space="preserve"> (أ)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(هـ) </w:t>
            </w:r>
            <w:proofErr w:type="spellStart"/>
            <w:r w:rsidRPr="00DE0F03">
              <w:rPr>
                <w:rFonts w:ascii="Simplified Arabic" w:hAnsi="Simplified Arabic" w:cs="Simplified Arabic" w:hint="cs"/>
              </w:rPr>
              <w:t>أعلاه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إيلاء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الاعتبار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الكافي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والفقرة</w:t>
            </w:r>
            <w:proofErr w:type="spellEnd"/>
            <w:r w:rsidRPr="00DE0F03">
              <w:rPr>
                <w:rFonts w:ascii="Simplified Arabic" w:hAnsi="Simplified Arabic" w:cs="Simplified Arabic" w:hint="cs"/>
              </w:rPr>
              <w:t xml:space="preserve"> 5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9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لهما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يتعلق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أجريت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بموجب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ــمــقــ</w:t>
            </w:r>
            <w:proofErr w:type="spellStart"/>
            <w:r w:rsidRPr="00DE0F03">
              <w:rPr>
                <w:rFonts w:ascii="Simplified Arabic" w:hAnsi="Simplified Arabic" w:cs="Simplified Arabic" w:hint="cs"/>
              </w:rPr>
              <w:t>رر</w:t>
            </w:r>
            <w:proofErr w:type="spellEnd"/>
            <w:r w:rsidRPr="00DE0F03">
              <w:rPr>
                <w:rFonts w:ascii="Simplified Arabic" w:hAnsi="Simplified Arabic" w:cs="Simplified Arabic" w:hint="cs"/>
              </w:rPr>
              <w:t xml:space="preserve"> ا</w:t>
            </w:r>
            <w:r w:rsidRPr="00DE0F03">
              <w:rPr>
                <w:rFonts w:ascii="Simplified Arabic" w:hAnsi="Simplified Arabic" w:cs="Simplified Arabic" w:hint="eastAsia"/>
              </w:rPr>
              <w:t> </w:t>
            </w:r>
            <w:r w:rsidRPr="00DE0F03">
              <w:rPr>
                <w:rFonts w:ascii="Simplified Arabic" w:hAnsi="Simplified Arabic" w:cs="Simplified Arabic" w:hint="cs"/>
              </w:rPr>
              <w:t>ب-</w:t>
            </w:r>
            <w:r w:rsidRPr="00DE0F03">
              <w:rPr>
                <w:rFonts w:ascii="Simplified Arabic" w:hAnsi="Simplified Arabic" w:cs="Simplified Arabic" w:hint="cs"/>
              </w:rPr>
              <w:lastRenderedPageBreak/>
              <w:t>3/1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ــتــعــ</w:t>
            </w:r>
            <w:proofErr w:type="spellStart"/>
            <w:r w:rsidRPr="00DE0F03">
              <w:rPr>
                <w:rFonts w:ascii="Simplified Arabic" w:hAnsi="Simplified Arabic" w:cs="Simplified Arabic" w:hint="cs"/>
              </w:rPr>
              <w:t>دي</w:t>
            </w:r>
            <w:proofErr w:type="spellEnd"/>
            <w:r w:rsidRPr="00DE0F03">
              <w:rPr>
                <w:rFonts w:ascii="Simplified Arabic" w:hAnsi="Simplified Arabic" w:cs="Simplified Arabic" w:hint="cs"/>
              </w:rPr>
              <w:t xml:space="preserve">ــل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ــمــتــعــلــق بــ</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 xml:space="preserve">ــحــظــر) </w:t>
            </w:r>
            <w:proofErr w:type="spellStart"/>
            <w:r w:rsidRPr="00DE0F03">
              <w:rPr>
                <w:rFonts w:ascii="Simplified Arabic" w:hAnsi="Simplified Arabic" w:cs="Simplified Arabic" w:hint="cs"/>
              </w:rPr>
              <w:t>والمقرر</w:t>
            </w:r>
            <w:proofErr w:type="spellEnd"/>
            <w:r w:rsidRPr="00DE0F03">
              <w:rPr>
                <w:rFonts w:ascii="Simplified Arabic" w:hAnsi="Simplified Arabic" w:cs="Simplified Arabic" w:hint="cs"/>
              </w:rPr>
              <w:t xml:space="preserve"> ا ب-14/12 (</w:t>
            </w:r>
            <w:proofErr w:type="spellStart"/>
            <w:r w:rsidRPr="00DE0F03">
              <w:rPr>
                <w:rFonts w:ascii="Simplified Arabic" w:hAnsi="Simplified Arabic" w:cs="Simplified Arabic" w:hint="cs"/>
              </w:rPr>
              <w:t>التعديلات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بالنفايات</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w:t>
            </w:r>
            <w:proofErr w:type="gramEnd"/>
          </w:p>
          <w:p w14:paraId="1886DB27"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70" w:line="340" w:lineRule="exact"/>
              <w:ind w:left="425" w:hanging="425"/>
              <w:jc w:val="both"/>
              <w:textDirection w:val="tbRlV"/>
              <w:rPr>
                <w:rFonts w:ascii="Simplified Arabic" w:hAnsi="Simplified Arabic" w:cs="Simplified Arabic"/>
                <w:rtl/>
                <w:lang w:val="ar-SA" w:eastAsia="zh-TW" w:bidi="en-GB"/>
              </w:rPr>
            </w:pPr>
            <w:proofErr w:type="spellStart"/>
            <w:r w:rsidRPr="00DE0F03">
              <w:rPr>
                <w:rFonts w:ascii="Simplified Arabic" w:hAnsi="Simplified Arabic" w:cs="Simplified Arabic" w:hint="cs"/>
              </w:rPr>
              <w:t>إقامة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حوار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المراكز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والتنسيقية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والمجلس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التنفيذي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للدعم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المؤسسي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الصعيد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وروتردام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واستكهولم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ميناماتا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والنهج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الاستراتيجي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الكيميائية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والكيانات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الأخرى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مثل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الأغذية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والزراعة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ومرفق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البيئة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العالمية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الإنمائي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ومنظمة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للتنمية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الصناعية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والبنك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الدولي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ومصارف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الإقليمية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أنشطتها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دعم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أداء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التزاماتها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أطر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قانونية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وإنفاذها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لكي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w:t>
            </w:r>
          </w:p>
          <w:p w14:paraId="08923493" w14:textId="77777777" w:rsidR="005F1505" w:rsidRPr="00DE0F03" w:rsidRDefault="005F1505" w:rsidP="005F1505">
            <w:pPr>
              <w:pStyle w:val="Normal-pool"/>
              <w:numPr>
                <w:ilvl w:val="0"/>
                <w:numId w:val="44"/>
              </w:numPr>
              <w:tabs>
                <w:tab w:val="clear" w:pos="1247"/>
                <w:tab w:val="clear" w:pos="1814"/>
                <w:tab w:val="clear" w:pos="2381"/>
                <w:tab w:val="clear" w:pos="2948"/>
                <w:tab w:val="clear" w:pos="3515"/>
                <w:tab w:val="left" w:pos="425"/>
              </w:tabs>
              <w:spacing w:before="70" w:after="120" w:line="34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رهناً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بتوافر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الموارد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ووفقاً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للأولويات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يحددها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لفترة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السنتين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المحددة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القانون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الوطني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بدءاً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حتى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الآن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لديها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تشريعات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وطنية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لتنفيذ</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vertAlign w:val="superscript"/>
              </w:rPr>
              <w:t>(</w:t>
            </w:r>
            <w:proofErr w:type="gramEnd"/>
            <w:r w:rsidRPr="00DE0F03">
              <w:rPr>
                <w:rStyle w:val="FootnoteReference"/>
                <w:rFonts w:ascii="Simplified Arabic" w:hAnsi="Simplified Arabic" w:cs="Simplified Arabic"/>
              </w:rPr>
              <w:footnoteReference w:id="12"/>
            </w:r>
            <w:r w:rsidRPr="00DE0F03">
              <w:rPr>
                <w:rFonts w:ascii="Simplified Arabic" w:hAnsi="Simplified Arabic" w:cs="Simplified Arabic" w:hint="cs"/>
                <w:vertAlign w:val="superscript"/>
              </w:rPr>
              <w:t>)</w:t>
            </w:r>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السادس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واجتماعاته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اللاحقة</w:t>
            </w:r>
            <w:proofErr w:type="spellEnd"/>
            <w:r w:rsidRPr="00DE0F03">
              <w:rPr>
                <w:rFonts w:ascii="Simplified Arabic" w:hAnsi="Simplified Arabic" w:cs="Simplified Arabic" w:hint="cs"/>
                <w:vertAlign w:val="superscript"/>
              </w:rPr>
              <w:t>(</w:t>
            </w:r>
            <w:r w:rsidRPr="00DE0F03">
              <w:rPr>
                <w:rStyle w:val="FootnoteReference"/>
                <w:rFonts w:ascii="Simplified Arabic" w:hAnsi="Simplified Arabic" w:cs="Simplified Arabic"/>
              </w:rPr>
              <w:footnoteReference w:id="13"/>
            </w:r>
            <w:r w:rsidRPr="00DE0F03">
              <w:rPr>
                <w:rFonts w:ascii="Simplified Arabic" w:hAnsi="Simplified Arabic" w:cs="Simplified Arabic" w:hint="cs"/>
                <w:vertAlign w:val="superscript"/>
              </w:rPr>
              <w:t>)</w:t>
            </w:r>
            <w:r w:rsidRPr="00DE0F03">
              <w:rPr>
                <w:rFonts w:ascii="Simplified Arabic" w:hAnsi="Simplified Arabic" w:cs="Simplified Arabic" w:hint="cs"/>
              </w:rPr>
              <w:t>.</w:t>
            </w:r>
          </w:p>
        </w:tc>
      </w:tr>
      <w:tr w:rsidR="005F1505" w:rsidRPr="00DE0F03" w14:paraId="68CEB814" w14:textId="77777777" w:rsidTr="00DA1ACF">
        <w:trPr>
          <w:trHeight w:val="57"/>
        </w:trPr>
        <w:tc>
          <w:tcPr>
            <w:tcW w:w="2832" w:type="dxa"/>
            <w:shd w:val="clear" w:color="auto" w:fill="auto"/>
            <w:hideMark/>
          </w:tcPr>
          <w:p w14:paraId="137D6799" w14:textId="77777777" w:rsidR="005F1505" w:rsidRPr="004D3E4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280" w:lineRule="exact"/>
              <w:ind w:left="425" w:hanging="425"/>
              <w:jc w:val="both"/>
              <w:textDirection w:val="tbRlV"/>
              <w:rPr>
                <w:rFonts w:ascii="Simplified Arabic" w:hAnsi="Simplified Arabic" w:cs="Simplified Arabic"/>
                <w:b/>
                <w:bCs/>
                <w:lang w:bidi="en-GB"/>
              </w:rPr>
            </w:pPr>
            <w:proofErr w:type="spellStart"/>
            <w:r w:rsidRPr="00DE0F03">
              <w:rPr>
                <w:rFonts w:ascii="Simplified Arabic" w:hAnsi="Simplified Arabic" w:cs="Simplified Arabic" w:hint="cs"/>
                <w:b/>
                <w:bCs/>
              </w:rPr>
              <w:lastRenderedPageBreak/>
              <w:t>الاستعراض</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والتحديث</w:t>
            </w:r>
            <w:proofErr w:type="spellEnd"/>
          </w:p>
          <w:p w14:paraId="4CFC0F0E" w14:textId="77777777" w:rsidR="005F1505" w:rsidRPr="009F759E" w:rsidRDefault="005F1505" w:rsidP="00DA1ACF">
            <w:pPr>
              <w:pStyle w:val="Normal-pool"/>
              <w:tabs>
                <w:tab w:val="clear" w:pos="1247"/>
                <w:tab w:val="clear" w:pos="1814"/>
                <w:tab w:val="clear" w:pos="2381"/>
                <w:tab w:val="clear" w:pos="2948"/>
                <w:tab w:val="clear" w:pos="3515"/>
              </w:tabs>
              <w:spacing w:before="60" w:after="60" w:line="280" w:lineRule="exact"/>
              <w:ind w:left="425" w:right="456"/>
              <w:jc w:val="both"/>
              <w:textDirection w:val="tbRlV"/>
              <w:rPr>
                <w:rFonts w:ascii="Simplified Arabic" w:hAnsi="Simplified Arabic" w:cs="Simplified Arabic"/>
                <w:b/>
                <w:lang w:val="ar-SA" w:eastAsia="zh-TW" w:bidi="en-GB"/>
              </w:rPr>
            </w:pPr>
            <w:proofErr w:type="spellStart"/>
            <w:r w:rsidRPr="004D3E43">
              <w:rPr>
                <w:rFonts w:ascii="Simplified Arabic" w:hAnsi="Simplified Arabic" w:cs="Simplified Arabic" w:hint="cs"/>
              </w:rPr>
              <w:t>التعزيز</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العام</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لتنفيذ</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الاتفاقية</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والامتثال</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لها</w:t>
            </w:r>
            <w:proofErr w:type="spellEnd"/>
          </w:p>
        </w:tc>
        <w:tc>
          <w:tcPr>
            <w:tcW w:w="5531" w:type="dxa"/>
            <w:shd w:val="clear" w:color="auto" w:fill="auto"/>
            <w:hideMark/>
          </w:tcPr>
          <w:p w14:paraId="7CDA67F2" w14:textId="77777777" w:rsidR="005F1505" w:rsidRPr="00DE0F03" w:rsidRDefault="005F1505" w:rsidP="005F1505">
            <w:pPr>
              <w:pStyle w:val="Normal-pool"/>
              <w:keepNext/>
              <w:keepLines/>
              <w:numPr>
                <w:ilvl w:val="0"/>
                <w:numId w:val="45"/>
              </w:numPr>
              <w:tabs>
                <w:tab w:val="clear" w:pos="1247"/>
                <w:tab w:val="clear" w:pos="1814"/>
                <w:tab w:val="clear" w:pos="2381"/>
                <w:tab w:val="clear" w:pos="2948"/>
                <w:tab w:val="clear" w:pos="3515"/>
                <w:tab w:val="left" w:pos="425"/>
              </w:tabs>
              <w:spacing w:before="60" w:after="60" w:line="280" w:lineRule="exact"/>
              <w:ind w:left="425" w:hanging="425"/>
              <w:jc w:val="both"/>
              <w:textDirection w:val="tbRlV"/>
              <w:rPr>
                <w:rFonts w:ascii="Simplified Arabic" w:hAnsi="Simplified Arabic" w:cs="Simplified Arabic"/>
                <w:rtl/>
              </w:rPr>
            </w:pPr>
            <w:proofErr w:type="spellStart"/>
            <w:r w:rsidRPr="00DE0F03">
              <w:rPr>
                <w:rFonts w:ascii="Simplified Arabic" w:hAnsi="Simplified Arabic" w:cs="Simplified Arabic" w:hint="cs"/>
              </w:rPr>
              <w:t>إجراء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منتظم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تضعها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استناداً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التعليقات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الدورية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يقدمها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المستخدمون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والاقتراحات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أصحاب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المصلحة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ضوء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المقررات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يتخذها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تحديث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التوجيهات</w:t>
            </w:r>
            <w:proofErr w:type="spellEnd"/>
            <w:r w:rsidRPr="00DE0F03">
              <w:rPr>
                <w:rFonts w:ascii="Simplified Arabic" w:hAnsi="Simplified Arabic" w:cs="Simplified Arabic" w:hint="cs"/>
              </w:rPr>
              <w:t>.</w:t>
            </w:r>
          </w:p>
          <w:p w14:paraId="61D2A347" w14:textId="77777777" w:rsidR="005F1505" w:rsidRPr="00DE0F03" w:rsidRDefault="005F1505" w:rsidP="005F1505">
            <w:pPr>
              <w:pStyle w:val="Normal-pool"/>
              <w:keepNext/>
              <w:keepLines/>
              <w:numPr>
                <w:ilvl w:val="0"/>
                <w:numId w:val="45"/>
              </w:numPr>
              <w:tabs>
                <w:tab w:val="clear" w:pos="1247"/>
                <w:tab w:val="clear" w:pos="1814"/>
                <w:tab w:val="clear" w:pos="2381"/>
                <w:tab w:val="clear" w:pos="2948"/>
                <w:tab w:val="clear" w:pos="3515"/>
                <w:tab w:val="left" w:pos="425"/>
              </w:tabs>
              <w:spacing w:before="60" w:after="120" w:line="28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تحديث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دليل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نظام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الرقابة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ودليل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نيابةً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ورهناً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بتوافر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الموارد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بإدراج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إشارات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4 </w:t>
            </w:r>
            <w:proofErr w:type="spellStart"/>
            <w:r w:rsidRPr="00DE0F03">
              <w:rPr>
                <w:rFonts w:ascii="Simplified Arabic" w:hAnsi="Simplified Arabic" w:cs="Simplified Arabic" w:hint="cs"/>
              </w:rPr>
              <w:t>ألف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ومسرد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المصطلحات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الجديدة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المعتمدة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الاجتماع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الثاني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الاقتضاء</w:t>
            </w:r>
            <w:proofErr w:type="spellEnd"/>
            <w:r w:rsidRPr="00DE0F03">
              <w:rPr>
                <w:rFonts w:ascii="Simplified Arabic" w:hAnsi="Simplified Arabic" w:cs="Simplified Arabic" w:hint="cs"/>
              </w:rPr>
              <w:t>.</w:t>
            </w:r>
          </w:p>
        </w:tc>
      </w:tr>
      <w:tr w:rsidR="005F1505" w:rsidRPr="00DE0F03" w14:paraId="21E9A815" w14:textId="77777777" w:rsidTr="00DA1ACF">
        <w:trPr>
          <w:trHeight w:val="57"/>
        </w:trPr>
        <w:tc>
          <w:tcPr>
            <w:tcW w:w="2832" w:type="dxa"/>
            <w:tcBorders>
              <w:bottom w:val="single" w:sz="4" w:space="0" w:color="auto"/>
            </w:tcBorders>
            <w:shd w:val="clear" w:color="auto" w:fill="auto"/>
          </w:tcPr>
          <w:p w14:paraId="5D78B693" w14:textId="77777777" w:rsidR="005F1505" w:rsidRPr="004D3E4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280" w:lineRule="exact"/>
              <w:ind w:left="425" w:hanging="425"/>
              <w:jc w:val="both"/>
              <w:textDirection w:val="tbRlV"/>
              <w:rPr>
                <w:rFonts w:ascii="Simplified Arabic" w:hAnsi="Simplified Arabic" w:cs="Simplified Arabic"/>
                <w:b/>
                <w:bCs/>
                <w:lang w:bidi="en-GB"/>
              </w:rPr>
            </w:pPr>
            <w:proofErr w:type="spellStart"/>
            <w:r w:rsidRPr="00DE0F03">
              <w:rPr>
                <w:rFonts w:ascii="Simplified Arabic" w:hAnsi="Simplified Arabic" w:cs="Simplified Arabic" w:hint="cs"/>
                <w:b/>
                <w:bCs/>
              </w:rPr>
              <w:t>جهات</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الاتصال</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القطرية</w:t>
            </w:r>
            <w:proofErr w:type="spellEnd"/>
          </w:p>
          <w:p w14:paraId="7B010109" w14:textId="77777777" w:rsidR="005F1505" w:rsidRPr="00DE0F03" w:rsidRDefault="005F1505" w:rsidP="00DA1ACF">
            <w:pPr>
              <w:pStyle w:val="Normal-pool"/>
              <w:tabs>
                <w:tab w:val="clear" w:pos="1247"/>
                <w:tab w:val="clear" w:pos="1814"/>
                <w:tab w:val="clear" w:pos="2381"/>
                <w:tab w:val="clear" w:pos="2948"/>
                <w:tab w:val="clear" w:pos="3515"/>
              </w:tabs>
              <w:spacing w:before="60" w:after="60" w:line="280" w:lineRule="exact"/>
              <w:ind w:left="425" w:right="314"/>
              <w:jc w:val="both"/>
              <w:textDirection w:val="tbRlV"/>
              <w:rPr>
                <w:rFonts w:ascii="Simplified Arabic" w:hAnsi="Simplified Arabic" w:cs="Simplified Arabic"/>
                <w:b/>
                <w:lang w:val="ar-SA" w:eastAsia="zh-TW" w:bidi="en-GB"/>
              </w:rPr>
            </w:pPr>
            <w:proofErr w:type="spellStart"/>
            <w:r w:rsidRPr="004D3E43">
              <w:rPr>
                <w:rFonts w:ascii="Simplified Arabic" w:hAnsi="Simplified Arabic" w:cs="Simplified Arabic" w:hint="cs"/>
              </w:rPr>
              <w:t>تعزيز</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التنفيذ</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والامتثال</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للمادة</w:t>
            </w:r>
            <w:proofErr w:type="spellEnd"/>
            <w:r w:rsidRPr="004D3E43">
              <w:rPr>
                <w:rFonts w:ascii="Simplified Arabic" w:hAnsi="Simplified Arabic" w:cs="Simplified Arabic" w:hint="cs"/>
              </w:rPr>
              <w:t xml:space="preserve"> 5 </w:t>
            </w:r>
            <w:proofErr w:type="spellStart"/>
            <w:r w:rsidRPr="004D3E43">
              <w:rPr>
                <w:rFonts w:ascii="Simplified Arabic" w:hAnsi="Simplified Arabic" w:cs="Simplified Arabic" w:hint="cs"/>
              </w:rPr>
              <w:t>من</w:t>
            </w:r>
            <w:proofErr w:type="spellEnd"/>
            <w:r w:rsidRPr="004D3E43">
              <w:rPr>
                <w:rFonts w:ascii="Simplified Arabic" w:hAnsi="Simplified Arabic" w:cs="Simplified Arabic" w:hint="cs"/>
              </w:rPr>
              <w:t xml:space="preserve"> </w:t>
            </w:r>
            <w:proofErr w:type="spellStart"/>
            <w:r w:rsidRPr="004D3E43">
              <w:rPr>
                <w:rFonts w:ascii="Simplified Arabic" w:hAnsi="Simplified Arabic" w:cs="Simplified Arabic" w:hint="cs"/>
              </w:rPr>
              <w:t>الاتفاقية</w:t>
            </w:r>
            <w:proofErr w:type="spellEnd"/>
          </w:p>
        </w:tc>
        <w:tc>
          <w:tcPr>
            <w:tcW w:w="5531" w:type="dxa"/>
            <w:tcBorders>
              <w:bottom w:val="single" w:sz="4" w:space="0" w:color="auto"/>
            </w:tcBorders>
            <w:shd w:val="clear" w:color="auto" w:fill="auto"/>
          </w:tcPr>
          <w:p w14:paraId="7091BC17" w14:textId="77777777" w:rsidR="005F1505" w:rsidRPr="00DE0F03" w:rsidRDefault="005F1505" w:rsidP="00DA1ACF">
            <w:pPr>
              <w:pStyle w:val="Normal-pool"/>
              <w:spacing w:before="60" w:after="60" w:line="28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للالتزام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بتعيين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السلطات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المختصة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وجهة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للاتصال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عملاً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بالمادة</w:t>
            </w:r>
            <w:proofErr w:type="spellEnd"/>
            <w:r w:rsidRPr="00DE0F03">
              <w:rPr>
                <w:rFonts w:ascii="Simplified Arabic" w:hAnsi="Simplified Arabic" w:cs="Simplified Arabic" w:hint="cs"/>
              </w:rPr>
              <w:t xml:space="preserve"> 5 </w:t>
            </w:r>
            <w:proofErr w:type="spellStart"/>
            <w:r w:rsidRPr="00DE0F03">
              <w:rPr>
                <w:rFonts w:ascii="Simplified Arabic" w:hAnsi="Simplified Arabic" w:cs="Simplified Arabic" w:hint="cs"/>
              </w:rPr>
              <w:t>وامتثالها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الالتزام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صعوبات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قضايا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مشتركة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تواجهها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يتعلق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بالالتزام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بإبلاغ</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غضون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شهر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واحد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تاريخ</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اتخاذ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القرار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بأي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تغييرات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تجريها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تعيين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جهات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الاتصال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القطرية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هذه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w:t>
            </w:r>
          </w:p>
        </w:tc>
      </w:tr>
      <w:tr w:rsidR="005F1505" w:rsidRPr="00DE0F03" w14:paraId="71531973" w14:textId="77777777" w:rsidTr="00DA1ACF">
        <w:trPr>
          <w:trHeight w:val="57"/>
        </w:trPr>
        <w:tc>
          <w:tcPr>
            <w:tcW w:w="2832" w:type="dxa"/>
            <w:shd w:val="clear" w:color="auto" w:fill="auto"/>
          </w:tcPr>
          <w:p w14:paraId="1BE1EC7F" w14:textId="77777777" w:rsidR="005F1505" w:rsidRPr="00DE0F0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280" w:lineRule="exact"/>
              <w:ind w:left="425" w:right="172" w:hanging="425"/>
              <w:jc w:val="both"/>
              <w:textDirection w:val="tbRlV"/>
              <w:rPr>
                <w:rFonts w:ascii="Simplified Arabic" w:hAnsi="Simplified Arabic" w:cs="Simplified Arabic"/>
                <w:b/>
                <w:lang w:val="ar-SA" w:eastAsia="zh-TW" w:bidi="en-GB"/>
              </w:rPr>
            </w:pPr>
            <w:proofErr w:type="spellStart"/>
            <w:r w:rsidRPr="00DE0F03">
              <w:rPr>
                <w:rFonts w:ascii="Simplified Arabic" w:hAnsi="Simplified Arabic" w:cs="Simplified Arabic" w:hint="cs"/>
                <w:b/>
                <w:bCs/>
              </w:rPr>
              <w:t>تعزيز</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التنسيق</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مع</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لجنة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الامتثال</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التابعة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لاتفاقية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روتردام</w:t>
            </w:r>
            <w:proofErr w:type="spellEnd"/>
          </w:p>
        </w:tc>
        <w:tc>
          <w:tcPr>
            <w:tcW w:w="5531" w:type="dxa"/>
            <w:shd w:val="clear" w:color="auto" w:fill="auto"/>
          </w:tcPr>
          <w:p w14:paraId="453A86D3" w14:textId="77777777" w:rsidR="005F1505" w:rsidRPr="00DE0F03" w:rsidRDefault="005F1505" w:rsidP="00DA1ACF">
            <w:pPr>
              <w:pStyle w:val="Normal-pool"/>
              <w:spacing w:before="60" w:after="120" w:line="28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استكشاف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إمكانيات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تعزيز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التنسيق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التابعة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روتردام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لتيسير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مثلاً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خلال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توفير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دعم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مشترك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لخدمات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أمانة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اللجنتين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وتيسير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lastRenderedPageBreak/>
              <w:t>تبادل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اللجنتين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التقارير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نتائج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منهما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وحضور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رئيس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لاجتماعات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الأخرى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وتعيين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أعضاء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اللجنة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الذين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يتمتعون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بالخبرات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بآلية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الامتثال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الأخرى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w:t>
            </w:r>
          </w:p>
        </w:tc>
      </w:tr>
      <w:tr w:rsidR="005F1505" w:rsidRPr="00DE0F03" w14:paraId="66DAE8C7" w14:textId="77777777" w:rsidTr="00DA1ACF">
        <w:trPr>
          <w:trHeight w:val="57"/>
        </w:trPr>
        <w:tc>
          <w:tcPr>
            <w:tcW w:w="2832" w:type="dxa"/>
            <w:tcBorders>
              <w:bottom w:val="single" w:sz="12" w:space="0" w:color="auto"/>
            </w:tcBorders>
            <w:shd w:val="clear" w:color="auto" w:fill="auto"/>
          </w:tcPr>
          <w:p w14:paraId="1C0457F3" w14:textId="77777777" w:rsidR="005F1505" w:rsidRPr="00DE0F03" w:rsidRDefault="005F1505" w:rsidP="005F1505">
            <w:pPr>
              <w:pStyle w:val="Normal-pool"/>
              <w:numPr>
                <w:ilvl w:val="0"/>
                <w:numId w:val="46"/>
              </w:numPr>
              <w:tabs>
                <w:tab w:val="clear" w:pos="1247"/>
                <w:tab w:val="clear" w:pos="1814"/>
                <w:tab w:val="clear" w:pos="2381"/>
                <w:tab w:val="clear" w:pos="2948"/>
                <w:tab w:val="clear" w:pos="3515"/>
                <w:tab w:val="left" w:pos="425"/>
              </w:tabs>
              <w:spacing w:before="60" w:after="60" w:line="28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b/>
                <w:bCs/>
              </w:rPr>
              <w:lastRenderedPageBreak/>
              <w:t>الإدماج</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في</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أطر</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الأمم</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المتحدة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للتعاون</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من</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أجل</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التنمية</w:t>
            </w:r>
            <w:proofErr w:type="spellEnd"/>
            <w:r w:rsidRPr="00DE0F03">
              <w:rPr>
                <w:rFonts w:ascii="Simplified Arabic" w:hAnsi="Simplified Arabic" w:cs="Simplified Arabic" w:hint="cs"/>
                <w:b/>
                <w:bCs/>
              </w:rPr>
              <w:t xml:space="preserve"> </w:t>
            </w:r>
            <w:proofErr w:type="spellStart"/>
            <w:r w:rsidRPr="00DE0F03">
              <w:rPr>
                <w:rFonts w:ascii="Simplified Arabic" w:hAnsi="Simplified Arabic" w:cs="Simplified Arabic" w:hint="cs"/>
                <w:b/>
                <w:bCs/>
              </w:rPr>
              <w:t>المستدامة</w:t>
            </w:r>
            <w:proofErr w:type="spellEnd"/>
          </w:p>
        </w:tc>
        <w:tc>
          <w:tcPr>
            <w:tcW w:w="5531" w:type="dxa"/>
            <w:tcBorders>
              <w:bottom w:val="single" w:sz="12" w:space="0" w:color="auto"/>
            </w:tcBorders>
            <w:shd w:val="clear" w:color="auto" w:fill="auto"/>
          </w:tcPr>
          <w:p w14:paraId="6DAED2D3" w14:textId="77777777" w:rsidR="005F1505" w:rsidRPr="00DE0F03" w:rsidRDefault="005F1505" w:rsidP="00DA1ACF">
            <w:pPr>
              <w:pStyle w:val="Normal-pool"/>
              <w:spacing w:before="60" w:after="120" w:line="28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توفير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السادس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الطريقة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يمكن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الفردية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تدمج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إجراءات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لتلبية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احتياجاتها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بموجب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أطر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الأمم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المتحدة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للتعاون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التنمية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المستدامة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الخاصة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w:t>
            </w:r>
          </w:p>
        </w:tc>
      </w:tr>
    </w:tbl>
    <w:p w14:paraId="77210B82" w14:textId="77777777" w:rsidR="005F1505" w:rsidRPr="00DE0F03" w:rsidRDefault="005F1505" w:rsidP="005F1505">
      <w:pPr>
        <w:pStyle w:val="CH1"/>
        <w:tabs>
          <w:tab w:val="clear" w:pos="851"/>
          <w:tab w:val="clear" w:pos="1247"/>
          <w:tab w:val="clear" w:pos="1814"/>
          <w:tab w:val="clear" w:pos="2381"/>
          <w:tab w:val="clear" w:pos="2948"/>
          <w:tab w:val="clear" w:pos="3515"/>
          <w:tab w:val="clear" w:pos="4082"/>
        </w:tabs>
        <w:bidi/>
        <w:spacing w:before="120" w:line="360" w:lineRule="exact"/>
        <w:ind w:left="1135" w:right="0" w:hanging="851"/>
        <w:jc w:val="both"/>
        <w:textDirection w:val="tbRlV"/>
        <w:rPr>
          <w:rFonts w:ascii="Simplified Arabic" w:hAnsi="Simplified Arabic" w:cs="Simplified Arabic"/>
          <w:bCs/>
          <w:sz w:val="26"/>
          <w:szCs w:val="26"/>
        </w:rPr>
      </w:pPr>
      <w:r w:rsidRPr="00DE0F03">
        <w:rPr>
          <w:rFonts w:ascii="Simplified Arabic" w:hAnsi="Simplified Arabic" w:cs="Simplified Arabic"/>
          <w:bCs/>
          <w:sz w:val="26"/>
          <w:szCs w:val="26"/>
          <w:rtl/>
        </w:rPr>
        <w:t>ثانياً-</w:t>
      </w:r>
      <w:r w:rsidRPr="00DE0F03">
        <w:rPr>
          <w:rFonts w:ascii="Simplified Arabic" w:hAnsi="Simplified Arabic" w:cs="Simplified Arabic"/>
          <w:bCs/>
          <w:sz w:val="26"/>
          <w:szCs w:val="26"/>
          <w:rtl/>
        </w:rPr>
        <w:tab/>
        <w:t>التقارير المحدَّدة المتعلقة بالتنفيذ والامتثال من الأطراف</w:t>
      </w:r>
    </w:p>
    <w:p w14:paraId="49C365AC" w14:textId="77777777" w:rsidR="005F1505" w:rsidRPr="00DE0F03" w:rsidRDefault="005F1505" w:rsidP="005F1505">
      <w:pPr>
        <w:pStyle w:val="Normal-pool"/>
        <w:numPr>
          <w:ilvl w:val="6"/>
          <w:numId w:val="30"/>
        </w:numPr>
        <w:tabs>
          <w:tab w:val="clear" w:pos="1247"/>
          <w:tab w:val="clear" w:pos="1814"/>
          <w:tab w:val="clear" w:pos="2381"/>
          <w:tab w:val="clear" w:pos="2948"/>
          <w:tab w:val="clear" w:pos="3515"/>
          <w:tab w:val="left" w:pos="2552"/>
        </w:tabs>
        <w:spacing w:after="110" w:line="34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تمنح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الأولوية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لمعالجة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المتعلقة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وفقاً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للفقرة</w:t>
      </w:r>
      <w:proofErr w:type="spellEnd"/>
      <w:r w:rsidRPr="00DE0F03">
        <w:rPr>
          <w:rFonts w:ascii="Simplified Arabic" w:hAnsi="Simplified Arabic" w:cs="Simplified Arabic"/>
          <w:sz w:val="24"/>
          <w:szCs w:val="24"/>
        </w:rPr>
        <w:t xml:space="preserve"> 9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اختصاصات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sz w:val="24"/>
          <w:szCs w:val="24"/>
        </w:rPr>
        <w:t>.</w:t>
      </w:r>
    </w:p>
    <w:p w14:paraId="6820639B" w14:textId="77777777" w:rsidR="005F1505" w:rsidRPr="00DE0F03" w:rsidRDefault="005F1505" w:rsidP="005F1505">
      <w:pPr>
        <w:pStyle w:val="Normal-pool"/>
        <w:numPr>
          <w:ilvl w:val="6"/>
          <w:numId w:val="30"/>
        </w:numPr>
        <w:tabs>
          <w:tab w:val="clear" w:pos="1247"/>
          <w:tab w:val="clear" w:pos="1814"/>
          <w:tab w:val="clear" w:pos="2381"/>
          <w:tab w:val="clear" w:pos="2948"/>
          <w:tab w:val="clear" w:pos="3515"/>
          <w:tab w:val="left" w:pos="2552"/>
        </w:tabs>
        <w:spacing w:after="110" w:line="34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وفيما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بصندوق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توصيات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توزيع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المتاحة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الصندوق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خلال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الفترة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الفاصلة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الاجتماعين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الخامس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سياق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إجراء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التيسير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المنصوص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الفقرتين</w:t>
      </w:r>
      <w:proofErr w:type="spellEnd"/>
      <w:r w:rsidRPr="00DE0F03">
        <w:rPr>
          <w:rFonts w:ascii="Simplified Arabic" w:hAnsi="Simplified Arabic" w:cs="Simplified Arabic"/>
          <w:sz w:val="24"/>
          <w:szCs w:val="24"/>
        </w:rPr>
        <w:t xml:space="preserve"> 19 و20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اختصاصات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وتُكرَّس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لتمويل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المدرجة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خطط</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الامتثال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بتقارير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محدَّدة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وتوافق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bookmarkStart w:id="28" w:name="_Hlk536689899"/>
      <w:bookmarkEnd w:id="28"/>
    </w:p>
    <w:p w14:paraId="16638634" w14:textId="49DD8010" w:rsidR="00F935A6" w:rsidRPr="005F1505" w:rsidRDefault="00F935A6" w:rsidP="005F1505">
      <w:pPr>
        <w:pStyle w:val="Normal-pool"/>
      </w:pPr>
    </w:p>
    <w:sectPr w:rsidR="00F935A6" w:rsidRPr="005F150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A17D7" w14:textId="77777777" w:rsidR="00DA29EB" w:rsidRDefault="00DA29EB" w:rsidP="009F75FF">
      <w:r>
        <w:separator/>
      </w:r>
    </w:p>
  </w:endnote>
  <w:endnote w:type="continuationSeparator" w:id="0">
    <w:p w14:paraId="7D0020E6" w14:textId="77777777" w:rsidR="00DA29EB" w:rsidRDefault="00DA29EB"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97D2E" w14:textId="77777777" w:rsidR="00DA29EB" w:rsidRDefault="00DA29EB" w:rsidP="009F75FF">
      <w:r>
        <w:separator/>
      </w:r>
    </w:p>
  </w:footnote>
  <w:footnote w:type="continuationSeparator" w:id="0">
    <w:p w14:paraId="68356353" w14:textId="77777777" w:rsidR="00DA29EB" w:rsidRDefault="00DA29EB" w:rsidP="009F75FF">
      <w:r>
        <w:continuationSeparator/>
      </w:r>
    </w:p>
  </w:footnote>
  <w:footnote w:id="1">
    <w:p w14:paraId="5A489B5D"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UNEP/CHW.15/12/Rev.2</w:t>
      </w:r>
      <w:r w:rsidRPr="00A32BDD">
        <w:rPr>
          <w:rFonts w:ascii="Simplified Arabic" w:hAnsi="Simplified Arabic" w:hint="cs"/>
          <w:rtl/>
        </w:rPr>
        <w:t>.</w:t>
      </w:r>
    </w:p>
  </w:footnote>
  <w:footnote w:id="2">
    <w:p w14:paraId="2E7D1BB3"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التقارير المقدمة بشأن بوتان، وتركمانستان، وجزر البهاما، وجمهورية كوريا الشعبية الديمقراطية، وسان تومي وبرينسيبي.</w:t>
      </w:r>
    </w:p>
  </w:footnote>
  <w:footnote w:id="3">
    <w:p w14:paraId="109C5E7F"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كان يُعرف سابقاً باسم إطار عمل الأمم المتحدة للمساعدة الإنمائية.</w:t>
      </w:r>
    </w:p>
    <w:bookmarkStart w:id="0" w:name="_Hlk106803895"/>
    <w:bookmarkEnd w:id="0"/>
  </w:footnote>
  <w:footnote w:id="4">
    <w:p w14:paraId="59E1F804" w14:textId="77777777" w:rsidR="005F1505" w:rsidRPr="00A32BDD" w:rsidRDefault="005F1505" w:rsidP="005F1505">
      <w:pPr>
        <w:pStyle w:val="FootnoteText"/>
        <w:spacing w:after="40" w:line="280" w:lineRule="exact"/>
        <w:ind w:left="1134"/>
        <w:jc w:val="both"/>
        <w:rPr>
          <w:rFonts w:ascii="Simplified Arabic" w:hAnsi="Simplified Arabic"/>
          <w:lang w:bidi="ar-EG"/>
        </w:rPr>
      </w:pPr>
      <w:bookmarkStart w:id="23" w:name="_Hlk106803895"/>
      <w:bookmarkEnd w:id="23"/>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UNEP/CHW.15/12/Rev.2/Add.1/Rev.1</w:t>
      </w:r>
      <w:r w:rsidRPr="00A32BDD">
        <w:rPr>
          <w:rFonts w:ascii="Simplified Arabic" w:hAnsi="Simplified Arabic" w:hint="cs"/>
          <w:rtl/>
        </w:rPr>
        <w:t>.</w:t>
      </w:r>
    </w:p>
    <w:bookmarkStart w:id="24" w:name="_Hlk106803932"/>
    <w:bookmarkEnd w:id="24"/>
  </w:footnote>
  <w:footnote w:id="5">
    <w:p w14:paraId="4CF48F0A" w14:textId="77777777" w:rsidR="005F1505" w:rsidRPr="00A32BDD" w:rsidRDefault="005F1505" w:rsidP="005F1505">
      <w:pPr>
        <w:pStyle w:val="FootnoteText"/>
        <w:spacing w:after="40" w:line="280" w:lineRule="exact"/>
        <w:ind w:left="1134"/>
        <w:jc w:val="both"/>
        <w:rPr>
          <w:rFonts w:ascii="Simplified Arabic" w:hAnsi="Simplified Arabic"/>
          <w:lang w:bidi="ar-EG"/>
        </w:rPr>
      </w:pPr>
      <w:bookmarkStart w:id="26" w:name="_Hlk106803932"/>
      <w:bookmarkEnd w:id="26"/>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UNEP/CHW.15/12/Rev.2/Add.2/Rev.1</w:t>
      </w:r>
      <w:r w:rsidRPr="00A32BDD">
        <w:rPr>
          <w:rFonts w:ascii="Simplified Arabic" w:hAnsi="Simplified Arabic" w:hint="cs"/>
          <w:rtl/>
        </w:rPr>
        <w:t>.</w:t>
      </w:r>
    </w:p>
  </w:footnote>
  <w:footnote w:id="6">
    <w:p w14:paraId="5D204773"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Pr>
          <w:sz w:val="18"/>
          <w:szCs w:val="18"/>
        </w:rPr>
        <w:t>UNEP/CHW.15/INF/17</w:t>
      </w:r>
      <w:r w:rsidRPr="00A32BDD">
        <w:rPr>
          <w:rFonts w:ascii="Simplified Arabic" w:hAnsi="Simplified Arabic" w:hint="cs"/>
          <w:rtl/>
        </w:rPr>
        <w:t>، المرفق الثالث.</w:t>
      </w:r>
    </w:p>
  </w:footnote>
  <w:footnote w:id="7">
    <w:p w14:paraId="3A61F84B"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انظر التذييل الملحق بالمقرر 6/12.</w:t>
      </w:r>
    </w:p>
  </w:footnote>
  <w:footnote w:id="8">
    <w:p w14:paraId="5B7F3634"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المقرر ا ب-13/9، الفقرة 12.</w:t>
      </w:r>
    </w:p>
  </w:footnote>
  <w:footnote w:id="9">
    <w:p w14:paraId="3A4F4461" w14:textId="77777777" w:rsidR="005F1505" w:rsidRPr="00A32BDD" w:rsidRDefault="005F1505" w:rsidP="005F1505">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المقرر ا ب-15/17.</w:t>
      </w:r>
    </w:p>
  </w:footnote>
  <w:footnote w:id="10">
    <w:p w14:paraId="0DFF0EC3"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fldChar w:fldCharType="begin"/>
      </w:r>
      <w:r>
        <w:instrText xml:space="preserve"> HYPERLINK "http://www.basel.int/Portals/4/Basel%20Convention/docs/legalmatters/illegtraffic/illegtrafform.pdf" </w:instrText>
      </w:r>
      <w:r>
        <w:fldChar w:fldCharType="separate"/>
      </w:r>
      <w:r w:rsidRPr="00A32BDD">
        <w:rPr>
          <w:rStyle w:val="Hyperlink"/>
          <w:rFonts w:asciiTheme="majorBidi" w:hAnsiTheme="majorBidi" w:cstheme="majorBidi"/>
          <w:sz w:val="18"/>
          <w:szCs w:val="18"/>
        </w:rPr>
        <w:t>www.basel.int/Portals/4/Basel%20Convention/docs/legalmatters/illegtraffic/illegtrafform.pdf</w:t>
      </w:r>
      <w:r>
        <w:rPr>
          <w:rStyle w:val="Hyperlink"/>
          <w:rFonts w:asciiTheme="majorBidi" w:hAnsiTheme="majorBidi" w:cstheme="majorBidi"/>
          <w:color w:val="auto"/>
          <w:sz w:val="18"/>
          <w:szCs w:val="18"/>
          <w:u w:val="none"/>
        </w:rPr>
        <w:fldChar w:fldCharType="end"/>
      </w:r>
      <w:r w:rsidRPr="00A32BDD">
        <w:rPr>
          <w:rFonts w:ascii="Simplified Arabic" w:hAnsi="Simplified Arabic" w:hint="cs"/>
          <w:rtl/>
        </w:rPr>
        <w:t>.</w:t>
      </w:r>
    </w:p>
  </w:footnote>
  <w:footnote w:id="11">
    <w:p w14:paraId="0CE61A4C"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w:t>
      </w:r>
      <w:r w:rsidRPr="00A32BDD">
        <w:rPr>
          <w:rFonts w:ascii="Simplified Arabic" w:hAnsi="Simplified Arabic" w:hint="cs"/>
        </w:rPr>
        <w:t xml:space="preserve"> </w:t>
      </w:r>
      <w:r w:rsidRPr="00A32BDD">
        <w:rPr>
          <w:rFonts w:ascii="Simplified Arabic" w:hAnsi="Simplified Arabic" w:hint="cs"/>
          <w:rtl/>
        </w:rPr>
        <w:t xml:space="preserve"> ترد القائمة المرجعية للمشرِّع في المرفق الأول لدليل تنفيذ اتفاقية بازل، المتاح في الوثيقة </w:t>
      </w:r>
      <w:r>
        <w:rPr>
          <w:sz w:val="18"/>
          <w:szCs w:val="18"/>
        </w:rPr>
        <w:t>UNEP/CHW.12/9/Add.4/Rev.1</w:t>
      </w:r>
      <w:r w:rsidRPr="00A32BDD">
        <w:rPr>
          <w:rFonts w:ascii="Simplified Arabic" w:hAnsi="Simplified Arabic" w:hint="cs"/>
          <w:rtl/>
        </w:rPr>
        <w:t xml:space="preserve">، والمعتمد بموجب المقرر ا ب-12/7. ويتاح الدليل أيضاً كمنشور على الرابط: </w:t>
      </w:r>
      <w:hyperlink r:id="rId1" w:history="1">
        <w:r w:rsidRPr="00A32BDD">
          <w:rPr>
            <w:rStyle w:val="Hyperlink"/>
            <w:rFonts w:asciiTheme="majorBidi" w:hAnsiTheme="majorBidi" w:cstheme="majorBidi"/>
            <w:sz w:val="18"/>
            <w:szCs w:val="18"/>
          </w:rPr>
          <w:t>www.basel.int/Implementation/Publications/</w:t>
        </w:r>
        <w:r w:rsidRPr="00A32BDD">
          <w:rPr>
            <w:rStyle w:val="Hyperlink"/>
            <w:rFonts w:asciiTheme="majorBidi" w:hAnsiTheme="majorBidi" w:cstheme="majorBidi"/>
            <w:sz w:val="18"/>
            <w:szCs w:val="18"/>
            <w:rtl/>
          </w:rPr>
          <w:br/>
        </w:r>
        <w:proofErr w:type="spellStart"/>
        <w:r w:rsidRPr="00A32BDD">
          <w:rPr>
            <w:rStyle w:val="Hyperlink"/>
            <w:rFonts w:asciiTheme="majorBidi" w:hAnsiTheme="majorBidi" w:cstheme="majorBidi"/>
            <w:sz w:val="18"/>
            <w:szCs w:val="18"/>
          </w:rPr>
          <w:t>GuidanceManuals</w:t>
        </w:r>
        <w:proofErr w:type="spellEnd"/>
        <w:r w:rsidRPr="00A32BDD">
          <w:rPr>
            <w:rStyle w:val="Hyperlink"/>
            <w:rFonts w:asciiTheme="majorBidi" w:hAnsiTheme="majorBidi" w:cstheme="majorBidi"/>
            <w:sz w:val="18"/>
            <w:szCs w:val="18"/>
          </w:rPr>
          <w:t>/tabid/2364/Default.aspx</w:t>
        </w:r>
      </w:hyperlink>
      <w:r w:rsidRPr="00A32BDD">
        <w:rPr>
          <w:rFonts w:ascii="Simplified Arabic" w:hAnsi="Simplified Arabic" w:hint="cs"/>
          <w:rtl/>
        </w:rPr>
        <w:t>.</w:t>
      </w:r>
    </w:p>
  </w:footnote>
  <w:footnote w:id="12">
    <w:p w14:paraId="728B85B6"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hAnsi="Simplified Arabic"/>
          <w:rtl/>
        </w:rPr>
        <w:t xml:space="preserve">انظر الوثيقة </w:t>
      </w:r>
      <w:r w:rsidRPr="00A32BDD">
        <w:rPr>
          <w:rStyle w:val="Hyperlink"/>
          <w:rFonts w:asciiTheme="majorBidi" w:hAnsiTheme="majorBidi" w:cstheme="majorBidi"/>
          <w:sz w:val="18"/>
          <w:szCs w:val="18"/>
        </w:rPr>
        <w:t>UNEP/CHW.15/14</w:t>
      </w:r>
      <w:r w:rsidRPr="00A32BDD">
        <w:rPr>
          <w:rFonts w:ascii="Simplified Arabic" w:hAnsi="Simplified Arabic"/>
          <w:rtl/>
        </w:rPr>
        <w:t>.</w:t>
      </w:r>
    </w:p>
  </w:footnote>
  <w:footnote w:id="13">
    <w:p w14:paraId="6D95887B" w14:textId="77777777" w:rsidR="005F1505" w:rsidRPr="00A32BDD" w:rsidRDefault="005F1505" w:rsidP="005F1505">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يُوصى بتخصيص اعتمادات مناسبة في الميزانية لتقديم الدعم للجنة للاضطلاع بهذا العمل، إلى جانب تخصيص اعتمادات في ميزانية المساعدة التقنية لمساعدة فرادى الأطراف على تنفيذ اتفاقية بازل.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CCD0E8DE"/>
    <w:lvl w:ilvl="0" w:tplc="54BAF75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714735"/>
    <w:multiLevelType w:val="hybridMultilevel"/>
    <w:tmpl w:val="DF5AFE9E"/>
    <w:lvl w:ilvl="0" w:tplc="E382B34C">
      <w:start w:val="1"/>
      <w:numFmt w:val="arabicAlpha"/>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15465D89"/>
    <w:multiLevelType w:val="hybridMultilevel"/>
    <w:tmpl w:val="029A0590"/>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57CB058">
      <w:start w:val="4"/>
      <w:numFmt w:val="decimal"/>
      <w:lvlText w:val="%7-"/>
      <w:lvlJc w:val="left"/>
      <w:pPr>
        <w:ind w:left="6911" w:hanging="360"/>
      </w:pPr>
      <w:rPr>
        <w:rFonts w:ascii="Simplified Arabic" w:eastAsia="Arial" w:hAnsi="Simplified Arabic" w:cs="Simplified Arabic" w:hint="default"/>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84D07D4"/>
    <w:multiLevelType w:val="hybridMultilevel"/>
    <w:tmpl w:val="03507B3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6"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7" w15:restartNumberingAfterBreak="0">
    <w:nsid w:val="1DB84C75"/>
    <w:multiLevelType w:val="hybridMultilevel"/>
    <w:tmpl w:val="EA1CCBF2"/>
    <w:lvl w:ilvl="0" w:tplc="6F8A944E">
      <w:start w:val="1"/>
      <w:numFmt w:val="arabicAlpha"/>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8"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1FDC7B3D"/>
    <w:multiLevelType w:val="hybridMultilevel"/>
    <w:tmpl w:val="4E86049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1" w15:restartNumberingAfterBreak="0">
    <w:nsid w:val="28806E7D"/>
    <w:multiLevelType w:val="hybridMultilevel"/>
    <w:tmpl w:val="8000EA6C"/>
    <w:lvl w:ilvl="0" w:tplc="EE2E144A">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7347F8"/>
    <w:multiLevelType w:val="hybridMultilevel"/>
    <w:tmpl w:val="8BBAE4D4"/>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4" w15:restartNumberingAfterBreak="0">
    <w:nsid w:val="2FDF2802"/>
    <w:multiLevelType w:val="hybridMultilevel"/>
    <w:tmpl w:val="82045F00"/>
    <w:lvl w:ilvl="0" w:tplc="931646AC">
      <w:start w:val="1"/>
      <w:numFmt w:val="arabicAlpha"/>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5" w15:restartNumberingAfterBreak="0">
    <w:nsid w:val="31B0777B"/>
    <w:multiLevelType w:val="hybridMultilevel"/>
    <w:tmpl w:val="DE4A7D5A"/>
    <w:lvl w:ilvl="0" w:tplc="C698289E">
      <w:start w:val="1"/>
      <w:numFmt w:val="arabicAbjad"/>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AF05BB2"/>
    <w:multiLevelType w:val="hybridMultilevel"/>
    <w:tmpl w:val="B2D40E9C"/>
    <w:lvl w:ilvl="0" w:tplc="30D24300">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8" w15:restartNumberingAfterBreak="0">
    <w:nsid w:val="3B4D2748"/>
    <w:multiLevelType w:val="hybridMultilevel"/>
    <w:tmpl w:val="68CE392E"/>
    <w:lvl w:ilvl="0" w:tplc="C698289E">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E7233C"/>
    <w:multiLevelType w:val="hybridMultilevel"/>
    <w:tmpl w:val="DEB6AAD8"/>
    <w:lvl w:ilvl="0" w:tplc="9BA233C8">
      <w:start w:val="1"/>
      <w:numFmt w:val="arabicAbjad"/>
      <w:lvlText w:val="(%1)"/>
      <w:lvlJc w:val="left"/>
      <w:pPr>
        <w:ind w:left="2381" w:hanging="510"/>
      </w:pPr>
      <w:rPr>
        <w:rFonts w:hint="default"/>
        <w:i/>
        <w:iCs w:val="0"/>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0" w15:restartNumberingAfterBreak="0">
    <w:nsid w:val="4093182D"/>
    <w:multiLevelType w:val="hybridMultilevel"/>
    <w:tmpl w:val="3FF2775E"/>
    <w:lvl w:ilvl="0" w:tplc="C698289E">
      <w:start w:val="1"/>
      <w:numFmt w:val="arabicAbjad"/>
      <w:lvlText w:val="(%1)"/>
      <w:lvlJc w:val="left"/>
      <w:pPr>
        <w:ind w:left="2606" w:hanging="735"/>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1" w15:restartNumberingAfterBreak="0">
    <w:nsid w:val="419233B1"/>
    <w:multiLevelType w:val="hybridMultilevel"/>
    <w:tmpl w:val="AB78C70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2" w15:restartNumberingAfterBreak="0">
    <w:nsid w:val="4A3067B9"/>
    <w:multiLevelType w:val="hybridMultilevel"/>
    <w:tmpl w:val="F394369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3"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4"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25"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78D075E"/>
    <w:multiLevelType w:val="hybridMultilevel"/>
    <w:tmpl w:val="C9E00E7E"/>
    <w:lvl w:ilvl="0" w:tplc="190E6F0E">
      <w:start w:val="1"/>
      <w:numFmt w:val="arabicAlpha"/>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B447DC0"/>
    <w:multiLevelType w:val="hybridMultilevel"/>
    <w:tmpl w:val="71567B10"/>
    <w:lvl w:ilvl="0" w:tplc="AD24E42C">
      <w:start w:val="1"/>
      <w:numFmt w:val="decimal"/>
      <w:lvlText w:val="%1-"/>
      <w:lvlJc w:val="left"/>
      <w:pPr>
        <w:ind w:left="720" w:hanging="360"/>
      </w:pPr>
      <w:rPr>
        <w:rFonts w:hint="default"/>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CC6B2E"/>
    <w:multiLevelType w:val="hybridMultilevel"/>
    <w:tmpl w:val="4838F728"/>
    <w:lvl w:ilvl="0" w:tplc="C698289E">
      <w:start w:val="1"/>
      <w:numFmt w:val="arabicAbjad"/>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C434F1E"/>
    <w:multiLevelType w:val="hybridMultilevel"/>
    <w:tmpl w:val="E33CFA4C"/>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1" w15:restartNumberingAfterBreak="0">
    <w:nsid w:val="64D62B20"/>
    <w:multiLevelType w:val="hybridMultilevel"/>
    <w:tmpl w:val="69CA008C"/>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2"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4"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5"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6" w15:restartNumberingAfterBreak="0">
    <w:nsid w:val="70C6286A"/>
    <w:multiLevelType w:val="hybridMultilevel"/>
    <w:tmpl w:val="D7E06EE8"/>
    <w:lvl w:ilvl="0" w:tplc="3668AEB8">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8" w15:restartNumberingAfterBreak="0">
    <w:nsid w:val="71CC5FD7"/>
    <w:multiLevelType w:val="hybridMultilevel"/>
    <w:tmpl w:val="16366134"/>
    <w:lvl w:ilvl="0" w:tplc="C698289E">
      <w:start w:val="1"/>
      <w:numFmt w:val="arabicAbjad"/>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1" w15:restartNumberingAfterBreak="0">
    <w:nsid w:val="78064C1D"/>
    <w:multiLevelType w:val="hybridMultilevel"/>
    <w:tmpl w:val="8702E2DA"/>
    <w:lvl w:ilvl="0" w:tplc="DB9ED978">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2" w15:restartNumberingAfterBreak="0">
    <w:nsid w:val="7A502D4E"/>
    <w:multiLevelType w:val="hybridMultilevel"/>
    <w:tmpl w:val="95F42D42"/>
    <w:lvl w:ilvl="0" w:tplc="C698289E">
      <w:start w:val="1"/>
      <w:numFmt w:val="arabicAbjad"/>
      <w:lvlText w:val="(%1)"/>
      <w:lvlJc w:val="left"/>
      <w:pPr>
        <w:ind w:left="2381" w:hanging="510"/>
      </w:pPr>
      <w:rPr>
        <w:rFonts w:hint="default"/>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3" w15:restartNumberingAfterBreak="0">
    <w:nsid w:val="7AB25A95"/>
    <w:multiLevelType w:val="hybridMultilevel"/>
    <w:tmpl w:val="BC3CB8EA"/>
    <w:lvl w:ilvl="0" w:tplc="C698289E">
      <w:start w:val="1"/>
      <w:numFmt w:val="arabicAbjad"/>
      <w:lvlText w:val="(%1)"/>
      <w:lvlJc w:val="left"/>
      <w:pPr>
        <w:ind w:left="780" w:hanging="4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5" w15:restartNumberingAfterBreak="0">
    <w:nsid w:val="7F2865FB"/>
    <w:multiLevelType w:val="hybridMultilevel"/>
    <w:tmpl w:val="20C8E2F4"/>
    <w:lvl w:ilvl="0" w:tplc="4C5E2150">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337347912">
    <w:abstractNumId w:val="24"/>
  </w:num>
  <w:num w:numId="2" w16cid:durableId="1400636790">
    <w:abstractNumId w:val="10"/>
  </w:num>
  <w:num w:numId="3" w16cid:durableId="915284139">
    <w:abstractNumId w:val="25"/>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1"/>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27"/>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44"/>
  </w:num>
  <w:num w:numId="7" w16cid:durableId="502823058">
    <w:abstractNumId w:val="6"/>
  </w:num>
  <w:num w:numId="8" w16cid:durableId="1579246298">
    <w:abstractNumId w:val="3"/>
  </w:num>
  <w:num w:numId="9" w16cid:durableId="478890557">
    <w:abstractNumId w:val="37"/>
  </w:num>
  <w:num w:numId="10" w16cid:durableId="1312324699">
    <w:abstractNumId w:val="40"/>
  </w:num>
  <w:num w:numId="11" w16cid:durableId="1970554629">
    <w:abstractNumId w:val="12"/>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33"/>
  </w:num>
  <w:num w:numId="13" w16cid:durableId="1903322055">
    <w:abstractNumId w:val="39"/>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35"/>
  </w:num>
  <w:num w:numId="15" w16cid:durableId="834880194">
    <w:abstractNumId w:val="8"/>
  </w:num>
  <w:num w:numId="16" w16cid:durableId="23750687">
    <w:abstractNumId w:val="32"/>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23"/>
  </w:num>
  <w:num w:numId="18" w16cid:durableId="1668435544">
    <w:abstractNumId w:val="16"/>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34"/>
  </w:num>
  <w:num w:numId="20" w16cid:durableId="1819415708">
    <w:abstractNumId w:val="11"/>
    <w:lvlOverride w:ilvl="0">
      <w:lvl w:ilvl="0" w:tplc="EE2E144A">
        <w:start w:val="1"/>
        <w:numFmt w:val="decimal"/>
        <w:lvlText w:val="%1-"/>
        <w:lvlJc w:val="left"/>
        <w:pPr>
          <w:ind w:left="3215" w:hanging="360"/>
        </w:pPr>
        <w:rPr>
          <w:rFonts w:ascii="Simplified Arabic" w:eastAsia="Times New Roman" w:hAnsi="Simplified Arabic" w:cs="Simplified Arabic"/>
          <w:i w:val="0"/>
          <w:iCs w:val="0"/>
        </w:rPr>
      </w:lvl>
    </w:lvlOverride>
  </w:num>
  <w:num w:numId="21" w16cid:durableId="1612469246">
    <w:abstractNumId w:val="42"/>
  </w:num>
  <w:num w:numId="22" w16cid:durableId="299388834">
    <w:abstractNumId w:val="41"/>
  </w:num>
  <w:num w:numId="23" w16cid:durableId="1214735642">
    <w:abstractNumId w:val="30"/>
  </w:num>
  <w:num w:numId="24" w16cid:durableId="1514149447">
    <w:abstractNumId w:val="21"/>
  </w:num>
  <w:num w:numId="25" w16cid:durableId="1267689261">
    <w:abstractNumId w:val="45"/>
    <w:lvlOverride w:ilvl="0">
      <w:lvl w:ilvl="0" w:tplc="4C5E2150">
        <w:start w:val="1"/>
        <w:numFmt w:val="decimal"/>
        <w:lvlText w:val="%1-"/>
        <w:lvlJc w:val="left"/>
        <w:pPr>
          <w:ind w:left="3215" w:hanging="360"/>
        </w:pPr>
        <w:rPr>
          <w:rFonts w:ascii="Simplified Arabic" w:eastAsia="Times New Roman" w:hAnsi="Simplified Arabic" w:cs="Simplified Arabic"/>
        </w:rPr>
      </w:lvl>
    </w:lvlOverride>
    <w:lvlOverride w:ilvl="1">
      <w:lvl w:ilvl="1" w:tplc="B776CA36">
        <w:start w:val="1"/>
        <w:numFmt w:val="lowerLetter"/>
        <w:lvlText w:val="(%2)"/>
        <w:lvlJc w:val="left"/>
        <w:pPr>
          <w:ind w:left="3935" w:hanging="360"/>
        </w:pPr>
        <w:rPr>
          <w:rFonts w:hint="default"/>
        </w:rPr>
      </w:lvl>
    </w:lvlOverride>
  </w:num>
  <w:num w:numId="26" w16cid:durableId="2019766611">
    <w:abstractNumId w:val="19"/>
  </w:num>
  <w:num w:numId="27" w16cid:durableId="1656910067">
    <w:abstractNumId w:val="0"/>
    <w:lvlOverride w:ilvl="0">
      <w:lvl w:ilvl="0" w:tplc="54BAF75A">
        <w:start w:val="1"/>
        <w:numFmt w:val="decimal"/>
        <w:lvlText w:val="%1-"/>
        <w:lvlJc w:val="left"/>
        <w:pPr>
          <w:ind w:left="720" w:hanging="360"/>
        </w:pPr>
        <w:rPr>
          <w:rFonts w:ascii="Simplified Arabic" w:eastAsia="Arial" w:hAnsi="Simplified Arabic" w:cs="Simplified Arabic"/>
        </w:rPr>
      </w:lvl>
    </w:lvlOverride>
  </w:num>
  <w:num w:numId="28" w16cid:durableId="200361833">
    <w:abstractNumId w:val="36"/>
    <w:lvlOverride w:ilvl="0">
      <w:lvl w:ilvl="0" w:tplc="3668AEB8">
        <w:start w:val="1"/>
        <w:numFmt w:val="decimal"/>
        <w:lvlText w:val="%1-"/>
        <w:lvlJc w:val="left"/>
        <w:pPr>
          <w:ind w:left="720" w:hanging="360"/>
        </w:pPr>
        <w:rPr>
          <w:rFonts w:ascii="Simplified Arabic" w:eastAsia="Arial" w:hAnsi="Simplified Arabic" w:cs="Simplified Arabic"/>
        </w:rPr>
      </w:lvl>
    </w:lvlOverride>
  </w:num>
  <w:num w:numId="29" w16cid:durableId="326134726">
    <w:abstractNumId w:val="5"/>
  </w:num>
  <w:num w:numId="30" w16cid:durableId="358168421">
    <w:abstractNumId w:val="4"/>
  </w:num>
  <w:num w:numId="31" w16cid:durableId="1695694331">
    <w:abstractNumId w:val="17"/>
  </w:num>
  <w:num w:numId="32" w16cid:durableId="234170555">
    <w:abstractNumId w:val="20"/>
  </w:num>
  <w:num w:numId="33" w16cid:durableId="1400202506">
    <w:abstractNumId w:val="13"/>
  </w:num>
  <w:num w:numId="34" w16cid:durableId="2025356806">
    <w:abstractNumId w:val="31"/>
  </w:num>
  <w:num w:numId="35" w16cid:durableId="2055733851">
    <w:abstractNumId w:val="18"/>
  </w:num>
  <w:num w:numId="36" w16cid:durableId="370686226">
    <w:abstractNumId w:val="7"/>
  </w:num>
  <w:num w:numId="37" w16cid:durableId="393741553">
    <w:abstractNumId w:val="22"/>
  </w:num>
  <w:num w:numId="38" w16cid:durableId="1182403617">
    <w:abstractNumId w:val="14"/>
  </w:num>
  <w:num w:numId="39" w16cid:durableId="1827431773">
    <w:abstractNumId w:val="9"/>
  </w:num>
  <w:num w:numId="40" w16cid:durableId="2073962496">
    <w:abstractNumId w:val="38"/>
  </w:num>
  <w:num w:numId="41" w16cid:durableId="1152405196">
    <w:abstractNumId w:val="43"/>
  </w:num>
  <w:num w:numId="42" w16cid:durableId="462382545">
    <w:abstractNumId w:val="15"/>
  </w:num>
  <w:num w:numId="43" w16cid:durableId="1258711814">
    <w:abstractNumId w:val="26"/>
  </w:num>
  <w:num w:numId="44" w16cid:durableId="116684080">
    <w:abstractNumId w:val="29"/>
  </w:num>
  <w:num w:numId="45" w16cid:durableId="333074530">
    <w:abstractNumId w:val="2"/>
  </w:num>
  <w:num w:numId="46" w16cid:durableId="5127788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0C277D"/>
    <w:rsid w:val="00226B6C"/>
    <w:rsid w:val="00265A88"/>
    <w:rsid w:val="00286115"/>
    <w:rsid w:val="005F1505"/>
    <w:rsid w:val="00666A5E"/>
    <w:rsid w:val="006C2AAB"/>
    <w:rsid w:val="00742414"/>
    <w:rsid w:val="007469E9"/>
    <w:rsid w:val="00836B73"/>
    <w:rsid w:val="00976B44"/>
    <w:rsid w:val="009F75FF"/>
    <w:rsid w:val="00B90411"/>
    <w:rsid w:val="00C13184"/>
    <w:rsid w:val="00C52BEE"/>
    <w:rsid w:val="00C84536"/>
    <w:rsid w:val="00DA29EB"/>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 w:type="paragraph" w:customStyle="1" w:styleId="NormalNonumber">
    <w:name w:val="Normal_No_number"/>
    <w:basedOn w:val="Normal"/>
    <w:link w:val="NormalNonumberChar"/>
    <w:qFormat/>
    <w:rsid w:val="00B90411"/>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B90411"/>
    <w:rPr>
      <w:rFonts w:ascii="Times New Roman" w:eastAsia="Times New Roman" w:hAnsi="Times New Roman" w:cs="Times New Roman"/>
      <w:sz w:val="20"/>
      <w:szCs w:val="20"/>
      <w:lang w:val="en-GB" w:eastAsia="en-US"/>
    </w:rPr>
  </w:style>
  <w:style w:type="paragraph" w:customStyle="1" w:styleId="CH1">
    <w:name w:val="CH1"/>
    <w:basedOn w:val="Normal"/>
    <w:next w:val="Normal"/>
    <w:qFormat/>
    <w:rsid w:val="005F1505"/>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4">
    <w:name w:val="CH4"/>
    <w:basedOn w:val="Normal"/>
    <w:next w:val="Normalnumber"/>
    <w:rsid w:val="005F1505"/>
    <w:pPr>
      <w:keepNext/>
      <w:keepLines/>
      <w:tabs>
        <w:tab w:val="right" w:pos="851"/>
        <w:tab w:val="left" w:pos="1247"/>
        <w:tab w:val="left" w:pos="1814"/>
        <w:tab w:val="left" w:pos="2381"/>
        <w:tab w:val="left" w:pos="2948"/>
        <w:tab w:val="left" w:pos="3515"/>
        <w:tab w:val="left" w:pos="4082"/>
      </w:tabs>
      <w:suppressAutoHyphens/>
      <w:bidi w:val="0"/>
      <w:spacing w:after="120"/>
      <w:ind w:left="1247" w:right="284" w:hanging="1247"/>
    </w:pPr>
    <w:rPr>
      <w:rFonts w:cs="Times New Roman"/>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Publications/GuidanceManuals/tabid/2364/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5029</Words>
  <Characters>28669</Characters>
  <Application>Microsoft Office Word</Application>
  <DocSecurity>0</DocSecurity>
  <Lines>238</Lines>
  <Paragraphs>67</Paragraphs>
  <ScaleCrop>false</ScaleCrop>
  <Company/>
  <LinksUpToDate>false</LinksUpToDate>
  <CharactersWithSpaces>33631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2023-04-27T09:46:00Z</dcterms:created>
  <dcterms:modified xsi:type="dcterms:W3CDTF">2023-04-27T09:46:00Z</dcterms:modified>
</cp:coreProperties>
</file>