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AB6DF" w14:textId="77777777" w:rsidR="00D67E22" w:rsidRPr="00B831E7" w:rsidRDefault="00D67E22" w:rsidP="00D67E22">
      <w:pPr>
        <w:pStyle w:val="CH1"/>
        <w:spacing w:before="0"/>
      </w:pPr>
      <w:r w:rsidRPr="00B831E7">
        <w:tab/>
      </w:r>
      <w:r w:rsidRPr="00B831E7">
        <w:tab/>
        <w:t>BC-15/17: Committee Administering the Mechanism for Promoting Implementation and Compliance</w:t>
      </w:r>
    </w:p>
    <w:p w14:paraId="2E868744" w14:textId="77777777" w:rsidR="00D67E22" w:rsidRPr="00B831E7" w:rsidRDefault="00D67E22" w:rsidP="00D67E22">
      <w:pPr>
        <w:pStyle w:val="Normal-pool"/>
        <w:tabs>
          <w:tab w:val="clear" w:pos="1247"/>
          <w:tab w:val="clear" w:pos="1814"/>
        </w:tabs>
        <w:spacing w:after="120"/>
        <w:ind w:left="1247" w:firstLine="624"/>
        <w:rPr>
          <w:i/>
          <w:iCs/>
        </w:rPr>
      </w:pPr>
      <w:r w:rsidRPr="00B831E7">
        <w:rPr>
          <w:i/>
          <w:iCs/>
        </w:rPr>
        <w:t>The Conference of the Parties</w:t>
      </w:r>
    </w:p>
    <w:p w14:paraId="7A001816"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rPr>
        <w:t xml:space="preserve">Takes note </w:t>
      </w:r>
      <w:r w:rsidRPr="00B831E7">
        <w:t>of the note by the Secretariat on the work of the Committee Administering the Mechanism for Promoting Implementation and Compliance</w:t>
      </w:r>
      <w:r w:rsidRPr="00B831E7">
        <w:rPr>
          <w:vertAlign w:val="superscript"/>
        </w:rPr>
        <w:footnoteReference w:id="1"/>
      </w:r>
      <w:r w:rsidRPr="00B831E7">
        <w:t xml:space="preserve"> and welcomes the work undertaken by the Committee since the fourteenth meeting of the Conference of the </w:t>
      </w:r>
      <w:proofErr w:type="gramStart"/>
      <w:r w:rsidRPr="00B831E7">
        <w:t>Parties;</w:t>
      </w:r>
      <w:proofErr w:type="gramEnd"/>
    </w:p>
    <w:p w14:paraId="70A902C5" w14:textId="77777777" w:rsidR="00D67E22" w:rsidRPr="00B831E7" w:rsidRDefault="00D67E22" w:rsidP="00D67E22">
      <w:pPr>
        <w:pStyle w:val="CH2"/>
        <w:ind w:firstLine="0"/>
        <w:jc w:val="center"/>
      </w:pPr>
      <w:r w:rsidRPr="00B831E7">
        <w:t>I</w:t>
      </w:r>
    </w:p>
    <w:p w14:paraId="1EDC264C" w14:textId="77777777" w:rsidR="00D67E22" w:rsidRPr="00B831E7" w:rsidRDefault="00D67E22" w:rsidP="00D67E22">
      <w:pPr>
        <w:pStyle w:val="CH2"/>
        <w:spacing w:before="80"/>
        <w:ind w:firstLine="0"/>
        <w:jc w:val="center"/>
      </w:pPr>
      <w:r w:rsidRPr="00B831E7">
        <w:t>Specific submissions regarding Party implementation and compliance</w:t>
      </w:r>
    </w:p>
    <w:p w14:paraId="7EB5E648"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rPr>
          <w:i/>
          <w:iCs/>
        </w:rPr>
      </w:pPr>
      <w:r w:rsidRPr="00B831E7">
        <w:rPr>
          <w:i/>
          <w:iCs/>
        </w:rPr>
        <w:t xml:space="preserve">Welcomes </w:t>
      </w:r>
      <w:r w:rsidRPr="00B831E7">
        <w:t>the resolution of implementation and compliance matters</w:t>
      </w:r>
      <w:r w:rsidRPr="00B831E7">
        <w:rPr>
          <w:i/>
          <w:iCs/>
        </w:rPr>
        <w:t xml:space="preserve"> </w:t>
      </w:r>
      <w:r w:rsidRPr="00B831E7">
        <w:t xml:space="preserve">set out in five specific </w:t>
      </w:r>
      <w:proofErr w:type="gramStart"/>
      <w:r w:rsidRPr="00B831E7">
        <w:t>submissions;</w:t>
      </w:r>
      <w:proofErr w:type="gramEnd"/>
      <w:r w:rsidRPr="00B831E7">
        <w:rPr>
          <w:vertAlign w:val="superscript"/>
        </w:rPr>
        <w:footnoteReference w:id="2"/>
      </w:r>
      <w:r w:rsidRPr="00B831E7">
        <w:t xml:space="preserve"> </w:t>
      </w:r>
    </w:p>
    <w:p w14:paraId="23504C99"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rPr>
        <w:t>Encourages</w:t>
      </w:r>
      <w:r w:rsidRPr="00B831E7">
        <w:t xml:space="preserve"> Parties concerned with a specific submission to cooperate with the Committee with a view to resolving the matter of </w:t>
      </w:r>
      <w:proofErr w:type="gramStart"/>
      <w:r w:rsidRPr="00B831E7">
        <w:t>concern;</w:t>
      </w:r>
      <w:proofErr w:type="gramEnd"/>
    </w:p>
    <w:p w14:paraId="5A97478C" w14:textId="77777777" w:rsidR="00D67E22" w:rsidRPr="00B831E7" w:rsidRDefault="00D67E22" w:rsidP="00D67E22">
      <w:pPr>
        <w:pStyle w:val="CH2"/>
        <w:ind w:firstLine="0"/>
        <w:jc w:val="center"/>
      </w:pPr>
      <w:r w:rsidRPr="00B831E7">
        <w:t>II</w:t>
      </w:r>
    </w:p>
    <w:p w14:paraId="78A0A803" w14:textId="77777777" w:rsidR="00D67E22" w:rsidRPr="00B831E7" w:rsidRDefault="00D67E22" w:rsidP="00D67E22">
      <w:pPr>
        <w:pStyle w:val="CH2"/>
        <w:spacing w:before="80"/>
        <w:ind w:firstLine="0"/>
        <w:jc w:val="center"/>
      </w:pPr>
      <w:r w:rsidRPr="00B831E7">
        <w:t>Review of general issues of compliance and implementation under the Convention</w:t>
      </w:r>
    </w:p>
    <w:p w14:paraId="465A7958" w14:textId="77777777" w:rsidR="00D67E22" w:rsidRPr="00B831E7" w:rsidRDefault="00D67E22" w:rsidP="00D67E22">
      <w:pPr>
        <w:pStyle w:val="CH4"/>
      </w:pPr>
      <w:r w:rsidRPr="00B831E7">
        <w:tab/>
      </w:r>
      <w:r w:rsidRPr="00B831E7">
        <w:tab/>
        <w:t>National reporting: individual compliance performance</w:t>
      </w:r>
    </w:p>
    <w:p w14:paraId="17EE015C"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rPr>
        <w:t>Welcomes</w:t>
      </w:r>
      <w:r w:rsidRPr="00B831E7">
        <w:t xml:space="preserve"> the continued improvement in the timeliness and completeness of national reports transmitted between 2010 and </w:t>
      </w:r>
      <w:proofErr w:type="gramStart"/>
      <w:r w:rsidRPr="00B831E7">
        <w:t>2017;</w:t>
      </w:r>
      <w:proofErr w:type="gramEnd"/>
    </w:p>
    <w:p w14:paraId="20B6D87A"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E</w:t>
      </w:r>
      <w:r w:rsidRPr="00B831E7">
        <w:rPr>
          <w:i/>
        </w:rPr>
        <w:t>xpresses</w:t>
      </w:r>
      <w:r w:rsidRPr="00B831E7">
        <w:t xml:space="preserve"> </w:t>
      </w:r>
      <w:r w:rsidRPr="00B831E7">
        <w:rPr>
          <w:i/>
          <w:iCs/>
        </w:rPr>
        <w:t>its appreciation</w:t>
      </w:r>
      <w:r w:rsidRPr="00B831E7">
        <w:t xml:space="preserve"> to the 44 Parties that transmitted, on time, a complete report for 2016, namely Australia, Azerbaijan, Bahrain, Barbados, Belgium, Bolivia (</w:t>
      </w:r>
      <w:proofErr w:type="spellStart"/>
      <w:r w:rsidRPr="00B831E7">
        <w:t>Plurinational</w:t>
      </w:r>
      <w:proofErr w:type="spellEnd"/>
      <w:r w:rsidRPr="00B831E7">
        <w:t xml:space="preserve"> State of), Bosnia and Herzegovina, Brazil, Bulgaria, Canada, Colombia, Costa Rica, Croatia, Cuba, Egypt, El Salvador, Eritrea, Estonia, Finland, Guinea, Guinea</w:t>
      </w:r>
      <w:r w:rsidRPr="00B831E7">
        <w:noBreakHyphen/>
        <w:t xml:space="preserve">Bissau, Honduras, Iceland, Iraq, Latvia, Lithuania, Mexico, Mozambique, New Zealand, Paraguay, the Philippines, Poland, Qatar, the Republic of Moldova, Saint Lucia, Saudi Arabia, Singapore, Slovakia, South Africa, Switzerland, Tunisia, </w:t>
      </w:r>
      <w:proofErr w:type="spellStart"/>
      <w:r w:rsidRPr="00B831E7">
        <w:t>Türkiye</w:t>
      </w:r>
      <w:proofErr w:type="spellEnd"/>
      <w:r w:rsidRPr="00B831E7">
        <w:t>, the United Arab Emirates</w:t>
      </w:r>
      <w:r w:rsidRPr="00B831E7">
        <w:rPr>
          <w:lang w:eastAsia="fr-CH"/>
        </w:rPr>
        <w:t xml:space="preserve"> and Yemen</w:t>
      </w:r>
      <w:r w:rsidRPr="00B831E7">
        <w:t xml:space="preserve">; </w:t>
      </w:r>
    </w:p>
    <w:p w14:paraId="219B80B0"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Also e</w:t>
      </w:r>
      <w:r w:rsidRPr="00B831E7">
        <w:rPr>
          <w:i/>
        </w:rPr>
        <w:t>xpresses</w:t>
      </w:r>
      <w:r w:rsidRPr="00B831E7">
        <w:t xml:space="preserve"> </w:t>
      </w:r>
      <w:r w:rsidRPr="00B831E7">
        <w:rPr>
          <w:i/>
          <w:iCs/>
        </w:rPr>
        <w:t>its appreciation</w:t>
      </w:r>
      <w:r w:rsidRPr="00B831E7">
        <w:t xml:space="preserve"> to the 44 Parties that transmitted, on time, a complete report for 2017, namely Afghanistan, Argentina, Armenia, Australia, Austria, Azerbaijan, Belgium, Bhutan, Bolivia (</w:t>
      </w:r>
      <w:proofErr w:type="spellStart"/>
      <w:r w:rsidRPr="00B831E7">
        <w:t>Plurinational</w:t>
      </w:r>
      <w:proofErr w:type="spellEnd"/>
      <w:r w:rsidRPr="00B831E7">
        <w:t xml:space="preserve"> State of), Bulgaria, Cabo Verde, Canada, the Central African Republic, China, Côte d’Ivoire, Colombia, Costa Rica, Croatia, Cuba, Denmark, Eritrea, Estonia, Finland, Germany, Latvia, Liberia, Mexico, Mozambique, New Zealand, Nicaragua, the Philippines, Poland, Portugal, the Republic of Moldova, Rwanda, Singapore, Slovakia, South Africa, the State of Palestine, Sweden, Switzerland, Trinidad and Tobago, Tunisia and the United Arab Emirates;</w:t>
      </w:r>
    </w:p>
    <w:p w14:paraId="65A49489"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rPr>
        <w:t>Notes</w:t>
      </w:r>
      <w:r w:rsidRPr="00B831E7">
        <w:t xml:space="preserve"> that the targets for the years 2016 and 2017 approved by the Conference of the Parties at its fourteenth meeting have not been met, with 24 per cent of reports due for 2016 and 24 per cent of reports due for 2017 transmitted complete and on time, against a target of 25 per cent, and with 37 per cent of reports for 2016 and 35 per cent of reports for 2017 transmitted complete, whether on time or late, against a target of 50 per cent;</w:t>
      </w:r>
    </w:p>
    <w:p w14:paraId="75E3393D"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rPr>
        <w:t>Also notes</w:t>
      </w:r>
      <w:r w:rsidRPr="00B831E7">
        <w:t xml:space="preserve"> that the adoption, in decisions BC-12/6 and BC-13/9, of revisions to the format to be used for national reporting for the year 2016 and onwards has led to an improvement in the overall rate of transmission of national reports, with, as at 26 August 2020, 61 per cent of Parties, or 110 of the 180 Parties required to do so, having transmitted their report for 2016, and with, as at </w:t>
      </w:r>
      <w:r w:rsidRPr="00B831E7">
        <w:lastRenderedPageBreak/>
        <w:t>13 November 2020, 59 per cent of Parties, or 107 of the 182 Parties required to do so, having transmitted their report for 2017, against 55 per cent of Parties in relation to the reporting for 2015;</w:t>
      </w:r>
    </w:p>
    <w:p w14:paraId="2917C176"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Emphasizes</w:t>
      </w:r>
      <w:r w:rsidRPr="00B831E7">
        <w:t xml:space="preserve"> the serious nature of non-reporting, incomplete reporting or late reporting, owing to the close link between the core obligations of the Convention and the obligation to transmit national reports in accordance with paragraph 3 of Article 13 of the </w:t>
      </w:r>
      <w:proofErr w:type="gramStart"/>
      <w:r w:rsidRPr="00B831E7">
        <w:t>Convention;</w:t>
      </w:r>
      <w:proofErr w:type="gramEnd"/>
    </w:p>
    <w:p w14:paraId="0F659FB7" w14:textId="77777777" w:rsidR="00D67E22" w:rsidRPr="00B831E7" w:rsidRDefault="00D67E22" w:rsidP="00D67E22">
      <w:pPr>
        <w:pStyle w:val="CH4"/>
      </w:pPr>
      <w:r w:rsidRPr="00B831E7">
        <w:tab/>
      </w:r>
      <w:r w:rsidRPr="00B831E7">
        <w:tab/>
        <w:t>National reporting: targets</w:t>
      </w:r>
    </w:p>
    <w:p w14:paraId="48ACECC6"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Sets</w:t>
      </w:r>
      <w:r w:rsidRPr="00B831E7">
        <w:t xml:space="preserve">, as a way of measuring progress in the overall implementation of and compliance with paragraph 3 of Article 13 of the Convention, the following targets for the reports due for 2018 and subsequent years: </w:t>
      </w:r>
    </w:p>
    <w:p w14:paraId="2D0431BC" w14:textId="77777777" w:rsidR="00D67E22" w:rsidRPr="00B831E7" w:rsidRDefault="00D67E22" w:rsidP="00D67E22">
      <w:pPr>
        <w:pStyle w:val="Normal-pool"/>
        <w:numPr>
          <w:ilvl w:val="1"/>
          <w:numId w:val="18"/>
        </w:numPr>
        <w:tabs>
          <w:tab w:val="clear" w:pos="1247"/>
          <w:tab w:val="clear" w:pos="1814"/>
          <w:tab w:val="clear" w:pos="2381"/>
          <w:tab w:val="clear" w:pos="2948"/>
          <w:tab w:val="clear" w:pos="3515"/>
          <w:tab w:val="clear" w:pos="4082"/>
        </w:tabs>
        <w:spacing w:after="120"/>
        <w:ind w:left="1247" w:firstLine="624"/>
      </w:pPr>
      <w:r w:rsidRPr="00B831E7">
        <w:t xml:space="preserve">25 per cent of the reports due are transmitted complete and on </w:t>
      </w:r>
      <w:proofErr w:type="gramStart"/>
      <w:r w:rsidRPr="00B831E7">
        <w:t>time;</w:t>
      </w:r>
      <w:proofErr w:type="gramEnd"/>
      <w:r w:rsidRPr="00B831E7">
        <w:t xml:space="preserve"> </w:t>
      </w:r>
    </w:p>
    <w:p w14:paraId="14F4CFEB" w14:textId="77777777" w:rsidR="00D67E22" w:rsidRPr="00B831E7" w:rsidRDefault="00D67E22" w:rsidP="00D67E22">
      <w:pPr>
        <w:pStyle w:val="Normal-pool"/>
        <w:numPr>
          <w:ilvl w:val="1"/>
          <w:numId w:val="18"/>
        </w:numPr>
        <w:tabs>
          <w:tab w:val="clear" w:pos="1247"/>
          <w:tab w:val="clear" w:pos="1814"/>
          <w:tab w:val="clear" w:pos="2381"/>
          <w:tab w:val="clear" w:pos="2948"/>
          <w:tab w:val="clear" w:pos="3515"/>
          <w:tab w:val="clear" w:pos="4082"/>
        </w:tabs>
        <w:spacing w:after="120"/>
        <w:ind w:left="1247" w:firstLine="624"/>
      </w:pPr>
      <w:r w:rsidRPr="00B831E7">
        <w:t xml:space="preserve">50 per cent of the reports due are transmitted complete, whether on time or </w:t>
      </w:r>
      <w:proofErr w:type="gramStart"/>
      <w:r w:rsidRPr="00B831E7">
        <w:t>late;</w:t>
      </w:r>
      <w:proofErr w:type="gramEnd"/>
    </w:p>
    <w:p w14:paraId="0ED91CF3" w14:textId="77777777" w:rsidR="00D67E22" w:rsidRPr="00B831E7" w:rsidRDefault="00D67E22" w:rsidP="00D67E22">
      <w:pPr>
        <w:pStyle w:val="Normal-pool"/>
        <w:numPr>
          <w:ilvl w:val="1"/>
          <w:numId w:val="18"/>
        </w:numPr>
        <w:tabs>
          <w:tab w:val="clear" w:pos="1247"/>
          <w:tab w:val="clear" w:pos="1814"/>
          <w:tab w:val="clear" w:pos="2381"/>
          <w:tab w:val="clear" w:pos="2948"/>
          <w:tab w:val="clear" w:pos="3515"/>
          <w:tab w:val="clear" w:pos="4082"/>
        </w:tabs>
        <w:spacing w:after="120"/>
        <w:ind w:left="1247" w:firstLine="624"/>
      </w:pPr>
      <w:r w:rsidRPr="00B831E7">
        <w:t xml:space="preserve">70 per cent of the reports due are </w:t>
      </w:r>
      <w:proofErr w:type="gramStart"/>
      <w:r w:rsidRPr="00B831E7">
        <w:t>transmitted;</w:t>
      </w:r>
      <w:proofErr w:type="gramEnd"/>
    </w:p>
    <w:p w14:paraId="3A38610E" w14:textId="77777777" w:rsidR="00D67E22" w:rsidRPr="00B831E7" w:rsidRDefault="00D67E22" w:rsidP="00D67E22">
      <w:pPr>
        <w:pStyle w:val="CH4"/>
        <w:keepNext w:val="0"/>
        <w:keepLines w:val="0"/>
      </w:pPr>
      <w:r w:rsidRPr="00B831E7">
        <w:tab/>
      </w:r>
      <w:r w:rsidRPr="00B831E7">
        <w:tab/>
        <w:t xml:space="preserve">National reporting: integration into the </w:t>
      </w:r>
      <w:r w:rsidRPr="00B831E7">
        <w:rPr>
          <w:lang w:eastAsia="en-GB"/>
        </w:rPr>
        <w:t xml:space="preserve">United Nations Sustainable Development </w:t>
      </w:r>
      <w:r w:rsidRPr="00B831E7">
        <w:t>Cooperation</w:t>
      </w:r>
      <w:r w:rsidRPr="00B831E7">
        <w:rPr>
          <w:lang w:eastAsia="en-GB"/>
        </w:rPr>
        <w:t xml:space="preserve"> Framework</w:t>
      </w:r>
      <w:r w:rsidRPr="00B831E7">
        <w:rPr>
          <w:rStyle w:val="FootnoteReference"/>
          <w:lang w:eastAsia="en-GB"/>
        </w:rPr>
        <w:footnoteReference w:id="3"/>
      </w:r>
      <w:r w:rsidRPr="00B831E7">
        <w:t xml:space="preserve"> </w:t>
      </w:r>
    </w:p>
    <w:p w14:paraId="1FF03A91"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Reiterates</w:t>
      </w:r>
      <w:r w:rsidRPr="00B831E7">
        <w:t xml:space="preserve"> the importance of the connection between achieving Sustainable Development Goal 12 and the transmission of national reports under the </w:t>
      </w:r>
      <w:proofErr w:type="gramStart"/>
      <w:r w:rsidRPr="00B831E7">
        <w:t>Convention;</w:t>
      </w:r>
      <w:proofErr w:type="gramEnd"/>
    </w:p>
    <w:p w14:paraId="5E039667"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Emphasizes</w:t>
      </w:r>
      <w:r w:rsidRPr="00B831E7">
        <w:t xml:space="preserve"> the possibility that the lack of transmission of national reports under the Convention indicates an underlying need for support for the implementation of other obligations set out in the Convention, for instance in relation to the control of transboundary movements of hazardous wastes and other wastes, minimization of the generation of wastes and the environmentally sound management of </w:t>
      </w:r>
      <w:proofErr w:type="gramStart"/>
      <w:r w:rsidRPr="00B831E7">
        <w:t>wastes;</w:t>
      </w:r>
      <w:proofErr w:type="gramEnd"/>
    </w:p>
    <w:p w14:paraId="4AADE36E"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Calls</w:t>
      </w:r>
      <w:r w:rsidRPr="00B831E7">
        <w:t xml:space="preserve"> </w:t>
      </w:r>
      <w:r w:rsidRPr="00B831E7">
        <w:rPr>
          <w:i/>
          <w:iCs/>
        </w:rPr>
        <w:t>on</w:t>
      </w:r>
      <w:r w:rsidRPr="00B831E7">
        <w:t xml:space="preserve"> Parties, in particular Parties with reporting needs identified through the classification of compliance performance undertaken by the Committee with respect to national reporting for the years 2016 and 2017, to integrate actions to address their needs with respect to the implementation of the Convention into the United Nations Sustainable Development Cooperation Framework (formerly the United Nations Development Assistance Framework), in particular during the national development planning process, the agreement of Cooperation Framework outcomes and outputs and the drafting of the Cooperation Framework document;</w:t>
      </w:r>
    </w:p>
    <w:p w14:paraId="0BFAD006"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Requests</w:t>
      </w:r>
      <w:r w:rsidRPr="00B831E7">
        <w:t xml:space="preserve"> the Secretariat to include, in its technical assistance activities relating to the transmission of national reports, assistance for Parties in integrating action to address related needs into their Cooperation </w:t>
      </w:r>
      <w:proofErr w:type="gramStart"/>
      <w:r w:rsidRPr="00B831E7">
        <w:t>Framework</w:t>
      </w:r>
      <w:bookmarkStart w:id="0" w:name="t1JfDvSA6MVe4Jj5MAig"/>
      <w:bookmarkStart w:id="1" w:name="ivw8l1KESq9JeOjQJ2w"/>
      <w:bookmarkStart w:id="2" w:name="esdJnyMFTGqj0voWSCwGbQ"/>
      <w:bookmarkStart w:id="3" w:name="2sHFMQzuRuaqhSDpDqq6tg"/>
      <w:bookmarkStart w:id="4" w:name="9LuS3OJQDWOIbk7GhUACg"/>
      <w:bookmarkStart w:id="5" w:name="kljCFT72RMGrfZvNKbCasw"/>
      <w:bookmarkStart w:id="6" w:name="P4ahCXmRqZGJTJ04mFlQ"/>
      <w:bookmarkStart w:id="7" w:name="Kyw79lArTMOSbq9tAVmhow"/>
      <w:bookmarkEnd w:id="0"/>
      <w:bookmarkEnd w:id="1"/>
      <w:bookmarkEnd w:id="2"/>
      <w:bookmarkEnd w:id="3"/>
      <w:bookmarkEnd w:id="4"/>
      <w:bookmarkEnd w:id="5"/>
      <w:bookmarkEnd w:id="6"/>
      <w:bookmarkEnd w:id="7"/>
      <w:r w:rsidRPr="00B831E7">
        <w:t>;</w:t>
      </w:r>
      <w:proofErr w:type="gramEnd"/>
      <w:r w:rsidRPr="00B831E7">
        <w:t xml:space="preserve"> </w:t>
      </w:r>
    </w:p>
    <w:p w14:paraId="300B4096"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Also requests</w:t>
      </w:r>
      <w:r w:rsidRPr="00B831E7">
        <w:t xml:space="preserve"> the Secretariat, and invites the United Nations Environment Programme and other entities with a mandate to support Parties in the implementation of the Basel Convention, such as the Food and Agriculture Organization of the United Nations, the Global Environment Facility, including in the context of relevant activities funded under the Stockholm Convention on Persistent Organic Pollutants, the United Nations Development Programme, the United Nations Industrial Development Organization, the World Bank and regional development banks, to work in partnership with respect to supporting Parties with national reporting needs and to liaise with the appropriate United Nations country teams and resident coordinators with a view to integrating action to address those needs into the Cooperation Frameworks of those Parties; </w:t>
      </w:r>
    </w:p>
    <w:p w14:paraId="3AB97C21"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Invites</w:t>
      </w:r>
      <w:r w:rsidRPr="00B831E7">
        <w:t xml:space="preserve"> the Conference of the Parties to the Rotterdam Convention on the Prior Informed Consent Procedure for Certain Hazardous Chemicals and Pesticides in International Trade to consider requesting its Compliance Committee, in the context of its work programme for the biennium 2022</w:t>
      </w:r>
      <w:r w:rsidRPr="00B831E7">
        <w:rPr>
          <w:rFonts w:ascii="Symbol" w:eastAsia="Symbol" w:hAnsi="Symbol" w:cs="Symbol"/>
        </w:rPr>
        <w:t>-</w:t>
      </w:r>
      <w:r w:rsidRPr="00B831E7">
        <w:t xml:space="preserve">2023 and with a view to enabling measurement of the achievement of Sustainable Development Goal 12, to monitor efforts by Parties experiencing difficulties in transmitting information pursuant to the provisions of the Convention to integrate action to address those difficulties into their Cooperation Framework and to identify best practices among such efforts, in </w:t>
      </w:r>
      <w:r w:rsidRPr="00B831E7">
        <w:lastRenderedPageBreak/>
        <w:t>cooperation, as appropriate, with the Committee administering the Mechanism for Promoting Implementation and Compliance;</w:t>
      </w:r>
    </w:p>
    <w:p w14:paraId="78DBDC52" w14:textId="77777777" w:rsidR="00D67E22" w:rsidRPr="00B831E7" w:rsidRDefault="00D67E22" w:rsidP="00D67E22">
      <w:pPr>
        <w:pStyle w:val="CH4"/>
        <w:keepNext w:val="0"/>
        <w:keepLines w:val="0"/>
      </w:pPr>
      <w:r w:rsidRPr="00B831E7">
        <w:tab/>
      </w:r>
      <w:r w:rsidRPr="00B831E7">
        <w:tab/>
        <w:t xml:space="preserve">National reporting: activities of entities aimed at assisting Parties in transmitting national reports </w:t>
      </w:r>
    </w:p>
    <w:p w14:paraId="25A029EE"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Encourages</w:t>
      </w:r>
      <w:r w:rsidRPr="00B831E7">
        <w:t xml:space="preserve"> the Basel Convention regional and coordinating centres, the United Nations Environment </w:t>
      </w:r>
      <w:proofErr w:type="gramStart"/>
      <w:r w:rsidRPr="00B831E7">
        <w:t>Programme</w:t>
      </w:r>
      <w:proofErr w:type="gramEnd"/>
      <w:r w:rsidRPr="00B831E7">
        <w:t xml:space="preserve"> and other entities such as the Food and Agriculture Organization of the United Nations, the Global Environment Facility, the United Nations Development Programme, the United Nations Industrial Development Organization, the World Bank and regional development banks:</w:t>
      </w:r>
    </w:p>
    <w:p w14:paraId="0C7557EC" w14:textId="77777777" w:rsidR="00D67E22" w:rsidRPr="00B831E7" w:rsidRDefault="00D67E22" w:rsidP="00D67E22">
      <w:pPr>
        <w:pStyle w:val="Normal-pool"/>
        <w:numPr>
          <w:ilvl w:val="1"/>
          <w:numId w:val="27"/>
        </w:numPr>
        <w:tabs>
          <w:tab w:val="clear" w:pos="1247"/>
          <w:tab w:val="clear" w:pos="1814"/>
          <w:tab w:val="clear" w:pos="2381"/>
          <w:tab w:val="clear" w:pos="2948"/>
          <w:tab w:val="clear" w:pos="3515"/>
          <w:tab w:val="clear" w:pos="4082"/>
        </w:tabs>
        <w:spacing w:after="120"/>
        <w:ind w:left="1247" w:firstLine="624"/>
      </w:pPr>
      <w:r w:rsidRPr="00B831E7">
        <w:t xml:space="preserve">To cooperate with the Committee, including by replying to questionnaires seeking information to enable the Committee to fulfil its mandate to improve implementation and compliance with paragraph 3 of Article 13 of the </w:t>
      </w:r>
      <w:proofErr w:type="gramStart"/>
      <w:r w:rsidRPr="00B831E7">
        <w:t>Convention;</w:t>
      </w:r>
      <w:proofErr w:type="gramEnd"/>
    </w:p>
    <w:p w14:paraId="0CBA9EA7" w14:textId="77777777" w:rsidR="00D67E22" w:rsidRPr="00B831E7" w:rsidRDefault="00D67E22" w:rsidP="00D67E22">
      <w:pPr>
        <w:pStyle w:val="Normal-pool"/>
        <w:numPr>
          <w:ilvl w:val="1"/>
          <w:numId w:val="27"/>
        </w:numPr>
        <w:tabs>
          <w:tab w:val="clear" w:pos="1247"/>
          <w:tab w:val="clear" w:pos="1814"/>
          <w:tab w:val="clear" w:pos="2381"/>
          <w:tab w:val="clear" w:pos="2948"/>
          <w:tab w:val="clear" w:pos="3515"/>
          <w:tab w:val="clear" w:pos="4082"/>
        </w:tabs>
        <w:spacing w:after="120"/>
        <w:ind w:left="1247" w:firstLine="624"/>
      </w:pPr>
      <w:r w:rsidRPr="00B831E7">
        <w:t xml:space="preserve">To participate as observers in the technical assistance activities of the Secretariat (webinars, regional workshops, country-level activities) aimed at supporting Parties in the transmission of national </w:t>
      </w:r>
      <w:proofErr w:type="gramStart"/>
      <w:r w:rsidRPr="00B831E7">
        <w:t>reports;</w:t>
      </w:r>
      <w:proofErr w:type="gramEnd"/>
    </w:p>
    <w:p w14:paraId="6E651CB2"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Encourages</w:t>
      </w:r>
      <w:r w:rsidRPr="00B831E7">
        <w:t xml:space="preserve"> Parties, in the context of the identification of their technical assistance needs, for instance when completing the Secretariat’s questionnaire thereon, developing the business plans of the Basel Convention regional and coordinating centres and developing their Cooperation Framework, to include, as a priority activity, the transmission of national </w:t>
      </w:r>
      <w:proofErr w:type="gramStart"/>
      <w:r w:rsidRPr="00B831E7">
        <w:t>reports;</w:t>
      </w:r>
      <w:proofErr w:type="gramEnd"/>
      <w:r w:rsidRPr="00B831E7">
        <w:t xml:space="preserve"> </w:t>
      </w:r>
    </w:p>
    <w:p w14:paraId="380AC310"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Encourages</w:t>
      </w:r>
      <w:r w:rsidRPr="00B831E7">
        <w:t xml:space="preserve"> the Basel Convention regional and coordinating centres, the Executive Board of the Special Programme to support institutional strengthening at the national level for implementation of the Basel, Rotterdam and Stockholm conventions, the Minamata Convention and the Strategic Approach to International Chemicals Management, the United Nations Environment Programme and other entities such as the Food and Agriculture Organization of the United Nations, the United Nations Development Programme, the United Nations Industrial Development Organization, the World Bank and regional development banks, as well as the Global Environment Facility in the context of relevant activities funded under the Stockholm Convention, to include the transmission to the Secretariat of national reports pursuant to paragraph 3 of Article 13 of the Basel Convention as a concrete output of their activities or to seek the inclusion of such transmission as a concrete output of activities funded by them, in order to support Parties in the implementation of the Convention; </w:t>
      </w:r>
    </w:p>
    <w:p w14:paraId="0FEA13F5"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Requests</w:t>
      </w:r>
      <w:r w:rsidRPr="00B831E7">
        <w:t xml:space="preserve"> the Secretariat to include the transmission to the Secretariat of national reports pursuant to paragraph 3 of Article 13 as a concrete output of its technical assistance activities or to seek the inclusion of such transmission as a concrete output of technical assistance activities funded by it, in order to support Parties in the implementation of the </w:t>
      </w:r>
      <w:proofErr w:type="gramStart"/>
      <w:r w:rsidRPr="00B831E7">
        <w:t>Convention;</w:t>
      </w:r>
      <w:proofErr w:type="gramEnd"/>
    </w:p>
    <w:p w14:paraId="220C5AFF" w14:textId="77777777" w:rsidR="00D67E22" w:rsidRPr="00B831E7" w:rsidRDefault="00D67E22" w:rsidP="00D67E22">
      <w:pPr>
        <w:pStyle w:val="CH4"/>
        <w:keepNext w:val="0"/>
        <w:keepLines w:val="0"/>
      </w:pPr>
      <w:r w:rsidRPr="00B831E7">
        <w:tab/>
      </w:r>
      <w:r w:rsidRPr="00B831E7">
        <w:tab/>
        <w:t>National reporting: recommendations on how best to make use of the information contained in the national reports</w:t>
      </w:r>
    </w:p>
    <w:p w14:paraId="4F0BBCEE"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Invites</w:t>
      </w:r>
      <w:r w:rsidRPr="00B831E7">
        <w:t xml:space="preserve"> Parties to share their experiences, their use at the national level of the information transmitted on an annual basis through national reports and the benefits that they draw from the information transmitted by other Parties through the national reports, and requests the Secretariat, subject to the availability of resources, to prepare case studies to illustrate the feedback </w:t>
      </w:r>
      <w:proofErr w:type="gramStart"/>
      <w:r w:rsidRPr="00B831E7">
        <w:t>received;</w:t>
      </w:r>
      <w:proofErr w:type="gramEnd"/>
    </w:p>
    <w:p w14:paraId="105BDD91"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Requests</w:t>
      </w:r>
      <w:r w:rsidRPr="00B831E7">
        <w:t xml:space="preserve"> the Secretariat, subject to the availability of resources:</w:t>
      </w:r>
    </w:p>
    <w:p w14:paraId="2F4FB4C1" w14:textId="77777777" w:rsidR="00D67E22" w:rsidRPr="00B831E7" w:rsidRDefault="00D67E22" w:rsidP="00D67E22">
      <w:pPr>
        <w:pStyle w:val="Normal-pool"/>
        <w:numPr>
          <w:ilvl w:val="1"/>
          <w:numId w:val="19"/>
        </w:numPr>
        <w:tabs>
          <w:tab w:val="clear" w:pos="1247"/>
          <w:tab w:val="clear" w:pos="1814"/>
          <w:tab w:val="clear" w:pos="2381"/>
          <w:tab w:val="clear" w:pos="2948"/>
          <w:tab w:val="clear" w:pos="3515"/>
          <w:tab w:val="clear" w:pos="4082"/>
        </w:tabs>
        <w:spacing w:after="120"/>
        <w:ind w:left="1247" w:firstLine="624"/>
      </w:pPr>
      <w:r w:rsidRPr="00B831E7">
        <w:t xml:space="preserve">To continue to publish on a regular basis the publication </w:t>
      </w:r>
      <w:r w:rsidRPr="00B831E7">
        <w:rPr>
          <w:i/>
          <w:iCs/>
        </w:rPr>
        <w:t>Waste Without Frontiers</w:t>
      </w:r>
      <w:r w:rsidRPr="00B831E7">
        <w:t xml:space="preserve"> and to strengthen the e</w:t>
      </w:r>
      <w:r w:rsidRPr="00B831E7">
        <w:rPr>
          <w:color w:val="000000"/>
        </w:rPr>
        <w:t xml:space="preserve">lectronic reporting system for querying national </w:t>
      </w:r>
      <w:proofErr w:type="gramStart"/>
      <w:r w:rsidRPr="00B831E7">
        <w:rPr>
          <w:color w:val="000000"/>
        </w:rPr>
        <w:t>reports</w:t>
      </w:r>
      <w:r w:rsidRPr="00B831E7">
        <w:t>;</w:t>
      </w:r>
      <w:proofErr w:type="gramEnd"/>
    </w:p>
    <w:p w14:paraId="1FD628FB" w14:textId="77777777" w:rsidR="00D67E22" w:rsidRPr="00B831E7" w:rsidRDefault="00D67E22" w:rsidP="00D67E22">
      <w:pPr>
        <w:pStyle w:val="Normal-pool"/>
        <w:numPr>
          <w:ilvl w:val="1"/>
          <w:numId w:val="19"/>
        </w:numPr>
        <w:tabs>
          <w:tab w:val="clear" w:pos="1247"/>
          <w:tab w:val="clear" w:pos="1814"/>
          <w:tab w:val="clear" w:pos="2381"/>
          <w:tab w:val="clear" w:pos="2948"/>
          <w:tab w:val="clear" w:pos="3515"/>
          <w:tab w:val="clear" w:pos="4082"/>
        </w:tabs>
        <w:spacing w:after="120"/>
        <w:ind w:left="1247" w:firstLine="624"/>
      </w:pPr>
      <w:r w:rsidRPr="00B831E7">
        <w:t xml:space="preserve">To explore opportunities to publish on a regular basis a publication providing information on the legal and institutional trends illustrated by the information set out in the national reports and highlighting the work of the Committee in that </w:t>
      </w:r>
      <w:proofErr w:type="gramStart"/>
      <w:r w:rsidRPr="00B831E7">
        <w:t>regard;</w:t>
      </w:r>
      <w:proofErr w:type="gramEnd"/>
      <w:r w:rsidRPr="00B831E7">
        <w:t xml:space="preserve"> </w:t>
      </w:r>
    </w:p>
    <w:p w14:paraId="75EEE8FE" w14:textId="77777777" w:rsidR="00D67E22" w:rsidRPr="00B831E7" w:rsidRDefault="00D67E22" w:rsidP="00D67E22">
      <w:pPr>
        <w:pStyle w:val="Normal-pool"/>
        <w:numPr>
          <w:ilvl w:val="1"/>
          <w:numId w:val="19"/>
        </w:numPr>
        <w:tabs>
          <w:tab w:val="clear" w:pos="1247"/>
          <w:tab w:val="clear" w:pos="1814"/>
          <w:tab w:val="clear" w:pos="2381"/>
          <w:tab w:val="clear" w:pos="2948"/>
          <w:tab w:val="clear" w:pos="3515"/>
          <w:tab w:val="clear" w:pos="4082"/>
        </w:tabs>
        <w:spacing w:after="120"/>
        <w:ind w:left="1247" w:firstLine="624"/>
      </w:pPr>
      <w:r w:rsidRPr="00B831E7">
        <w:t xml:space="preserve">To step up its efforts to </w:t>
      </w:r>
      <w:proofErr w:type="gramStart"/>
      <w:r w:rsidRPr="00B831E7">
        <w:t>communicate more widely,</w:t>
      </w:r>
      <w:proofErr w:type="gramEnd"/>
      <w:r w:rsidRPr="00B831E7">
        <w:t xml:space="preserve"> to the relevant national and international stakeholders involved in the implementation of the Sustainable Development Goals and </w:t>
      </w:r>
      <w:r w:rsidRPr="00B831E7">
        <w:lastRenderedPageBreak/>
        <w:t>in particular Goal 12, the importance of the transmission of national reports under the Basel Convention;</w:t>
      </w:r>
    </w:p>
    <w:p w14:paraId="696D40DF" w14:textId="77777777" w:rsidR="00D67E22" w:rsidRPr="00B831E7" w:rsidRDefault="00D67E22" w:rsidP="00D67E22">
      <w:pPr>
        <w:pStyle w:val="CH4"/>
        <w:keepNext w:val="0"/>
        <w:keepLines w:val="0"/>
      </w:pPr>
      <w:r w:rsidRPr="00B831E7">
        <w:tab/>
      </w:r>
      <w:r w:rsidRPr="00B831E7">
        <w:tab/>
        <w:t>Illegal traffic: scoping exercise</w:t>
      </w:r>
    </w:p>
    <w:p w14:paraId="1F5E9ABB"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Reminds</w:t>
      </w:r>
      <w:r w:rsidRPr="00B831E7">
        <w:t xml:space="preserve"> Parties of the importance of their obligation to complete table 9 of the reporting </w:t>
      </w:r>
      <w:proofErr w:type="gramStart"/>
      <w:r w:rsidRPr="00B831E7">
        <w:t>format;</w:t>
      </w:r>
      <w:proofErr w:type="gramEnd"/>
    </w:p>
    <w:p w14:paraId="0B62CB1C"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Encourages</w:t>
      </w:r>
      <w:r w:rsidRPr="00B831E7">
        <w:t xml:space="preserve"> the Basel Convention regional and coordinating centres, the United Nations Environment Programme and enforcement organizations such as the I</w:t>
      </w:r>
      <w:r w:rsidRPr="00B831E7">
        <w:rPr>
          <w:shd w:val="clear" w:color="auto" w:fill="FFFFFF"/>
        </w:rPr>
        <w:t>nternational Criminal Police Organization</w:t>
      </w:r>
      <w:r w:rsidRPr="00B831E7">
        <w:t xml:space="preserve"> and the World Customs Organization to cooperate with the Committee, including by replying to questionnaires seeking information to enable the Committee to fulfil its mandate in relation to preventing and combating illegal </w:t>
      </w:r>
      <w:proofErr w:type="gramStart"/>
      <w:r w:rsidRPr="00B831E7">
        <w:t>traffic;</w:t>
      </w:r>
      <w:proofErr w:type="gramEnd"/>
    </w:p>
    <w:p w14:paraId="6816961C"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Requests</w:t>
      </w:r>
      <w:r w:rsidRPr="00B831E7">
        <w:t xml:space="preserve"> the Secretariat, subject to the availability of resources, and encourages organizations with a mandate to assist Parties in preventing and combating illegal traffic, in the context of their respective activities, such as enforcement operations, to collect information based on information provided in table 9 of the national reports on how many cases of illegal traffic there were, with respect to which wastes, in which regions and how they were </w:t>
      </w:r>
      <w:proofErr w:type="gramStart"/>
      <w:r w:rsidRPr="00B831E7">
        <w:t>resolved</w:t>
      </w:r>
      <w:r w:rsidRPr="00B831E7">
        <w:rPr>
          <w:bCs/>
        </w:rPr>
        <w:t>;</w:t>
      </w:r>
      <w:proofErr w:type="gramEnd"/>
    </w:p>
    <w:p w14:paraId="45899F11"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Also requests</w:t>
      </w:r>
      <w:r w:rsidRPr="00B831E7">
        <w:t xml:space="preserve"> the Secretariat, subject to the availability of resources, to consolidate on a yearly basis and improve the visibility on its website of information on cases of illegal traffic reported by Parties, based on their national </w:t>
      </w:r>
      <w:proofErr w:type="gramStart"/>
      <w:r w:rsidRPr="00B831E7">
        <w:t>reports;</w:t>
      </w:r>
      <w:proofErr w:type="gramEnd"/>
      <w:r w:rsidRPr="00B831E7">
        <w:t xml:space="preserve"> </w:t>
      </w:r>
    </w:p>
    <w:p w14:paraId="4BA8226C" w14:textId="77777777" w:rsidR="00D67E22" w:rsidRPr="00B831E7" w:rsidRDefault="00D67E22" w:rsidP="00D67E22">
      <w:pPr>
        <w:pStyle w:val="CH4"/>
        <w:keepNext w:val="0"/>
        <w:keepLines w:val="0"/>
      </w:pPr>
      <w:r w:rsidRPr="00B831E7">
        <w:tab/>
      </w:r>
      <w:r w:rsidRPr="00B831E7">
        <w:tab/>
        <w:t>Illegal traffic: national coordination mechanisms</w:t>
      </w:r>
    </w:p>
    <w:p w14:paraId="0C3D5B82"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rPr>
          <w:bCs/>
        </w:rPr>
      </w:pPr>
      <w:r w:rsidRPr="00B831E7">
        <w:rPr>
          <w:i/>
          <w:iCs/>
        </w:rPr>
        <w:t>Requests</w:t>
      </w:r>
      <w:r w:rsidRPr="00B831E7">
        <w:t xml:space="preserve"> the Secretariat, subject to the availability of resources, and encourages organizations with a mandate to assist Parties in preventing and combating illegal traffic to cooperate with one another, including through </w:t>
      </w:r>
      <w:bookmarkStart w:id="8" w:name="_Hlk35797068"/>
      <w:r w:rsidRPr="00B831E7">
        <w:t xml:space="preserve">the Environmental Network for Optimizing Regulatory Compliance on Illegal Traffic, </w:t>
      </w:r>
      <w:bookmarkEnd w:id="8"/>
      <w:r w:rsidRPr="00B831E7">
        <w:t xml:space="preserve">to undertake the joint training of the competent authorities and enforcement entities in preventing and combating illegal traffic with a view to </w:t>
      </w:r>
      <w:r w:rsidRPr="00B831E7">
        <w:rPr>
          <w:bCs/>
        </w:rPr>
        <w:t>enhancing coordination at the national level, including with regard to the formalization of national coordination mechanisms;</w:t>
      </w:r>
    </w:p>
    <w:p w14:paraId="28EC4EA3"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bCs/>
          <w:i/>
          <w:iCs/>
        </w:rPr>
        <w:t>Invites</w:t>
      </w:r>
      <w:r w:rsidRPr="00B831E7">
        <w:rPr>
          <w:bCs/>
        </w:rPr>
        <w:t xml:space="preserve"> </w:t>
      </w:r>
      <w:r w:rsidRPr="00B831E7">
        <w:t xml:space="preserve">organizations with a mandate to undertake enforcement operations to prevent and combat illegal traffic, such as the International Criminal Police Organization and the World Customs Organization, to cooperate with the Secretariat with a view to promoting communication and coordination between the competent authorities and enforcement entities at the national level during preparations for, implementation of and follow-up to such </w:t>
      </w:r>
      <w:proofErr w:type="gramStart"/>
      <w:r w:rsidRPr="00B831E7">
        <w:t>operations;</w:t>
      </w:r>
      <w:proofErr w:type="gramEnd"/>
    </w:p>
    <w:p w14:paraId="0C9196D7" w14:textId="77777777" w:rsidR="00D67E22" w:rsidRPr="00B831E7" w:rsidRDefault="00D67E22" w:rsidP="00D67E22">
      <w:pPr>
        <w:pStyle w:val="CH4"/>
        <w:keepNext w:val="0"/>
        <w:keepLines w:val="0"/>
      </w:pPr>
      <w:r w:rsidRPr="00B831E7">
        <w:tab/>
      </w:r>
      <w:r w:rsidRPr="00B831E7">
        <w:tab/>
        <w:t xml:space="preserve">Illegal traffic: responses to question 1 (c) of the reporting format </w:t>
      </w:r>
    </w:p>
    <w:p w14:paraId="48545E7E"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Requests</w:t>
      </w:r>
      <w:r w:rsidRPr="00B831E7">
        <w:t xml:space="preserve"> the Secretariat, in the context of its technical assistance activities, to ensure that its support to Parties, or the support provided by others through the use of financial contributions to the Technical Cooperation Trust Fund to assist developing countries and other countries in need of technical assistance, aims to ensure full legislative implementation of the Convention, in particular of Article 9, including any amendments to the Convention, as appropriate, such as those pursuant to decision BC-III/1 (Ban Amendment) and decision BC</w:t>
      </w:r>
      <w:r w:rsidRPr="00B831E7">
        <w:noBreakHyphen/>
        <w:t>14/12 (Amendments to Annexes II, VIII and IX to the Basel Convention, known as the “plastic wastes amendments”) and any other amendment to the annexes to the Convention;</w:t>
      </w:r>
    </w:p>
    <w:p w14:paraId="67B9DDF0" w14:textId="77777777" w:rsidR="00D67E22" w:rsidRPr="00B831E7" w:rsidRDefault="00D67E22" w:rsidP="00D67E22">
      <w:pPr>
        <w:pStyle w:val="CH4"/>
        <w:keepNext w:val="0"/>
        <w:keepLines w:val="0"/>
      </w:pPr>
      <w:r w:rsidRPr="00B831E7">
        <w:tab/>
      </w:r>
      <w:r w:rsidRPr="00B831E7">
        <w:tab/>
        <w:t>Illegal traffic: cooperative arrangements including the Environmental Network for Optimizing Regulatory Compliance on Illegal Traffic</w:t>
      </w:r>
    </w:p>
    <w:p w14:paraId="60843C0B"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 xml:space="preserve">Welcomes and encourages further </w:t>
      </w:r>
      <w:r w:rsidRPr="00B831E7">
        <w:t>the efforts of organizations such as the European Union Network for the Implementation and Enforcement of Environmental Law, the International Criminal Police Organization, the United Nations Environment Programme and the World Customs Organization to cooperate with the Secretariat when undertaking activities to support Parties in their efforts to prevent and combat illegal traffic</w:t>
      </w:r>
      <w:r w:rsidRPr="00B831E7">
        <w:rPr>
          <w:bCs/>
        </w:rPr>
        <w:t xml:space="preserve"> and requests the Secretariat, as relevant, to strengthen its efforts to cooperate with entities such as the Organization for Security and Cooperation in Europe and the United Nations Office on Drugs and Crime; </w:t>
      </w:r>
    </w:p>
    <w:p w14:paraId="4C005580"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lastRenderedPageBreak/>
        <w:t>Reiterates</w:t>
      </w:r>
      <w:r w:rsidRPr="00B831E7">
        <w:t xml:space="preserve"> its invitation to the International Criminal Police Organization and the United Nations Office on Drugs and Crime to become members of </w:t>
      </w:r>
      <w:bookmarkStart w:id="9" w:name="_Toc38364155"/>
      <w:bookmarkStart w:id="10" w:name="_Toc38364303"/>
      <w:bookmarkEnd w:id="9"/>
      <w:bookmarkEnd w:id="10"/>
      <w:r w:rsidRPr="00B831E7">
        <w:t xml:space="preserve">the Environmental Network for Optimizing Regulatory Compliance on Illegal </w:t>
      </w:r>
      <w:proofErr w:type="gramStart"/>
      <w:r w:rsidRPr="00B831E7">
        <w:t>Traffic;</w:t>
      </w:r>
      <w:proofErr w:type="gramEnd"/>
    </w:p>
    <w:p w14:paraId="43DCF1BB"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Requests</w:t>
      </w:r>
      <w:r w:rsidRPr="00B831E7">
        <w:t xml:space="preserve"> the Secretariat, subject to the availability of resources, and with a view to improving support for joint operations undertaken by members of the Environmental Network with enforcement authorities, particularly customs authorities: </w:t>
      </w:r>
    </w:p>
    <w:p w14:paraId="0E3271CC" w14:textId="77777777" w:rsidR="00D67E22" w:rsidRPr="00B831E7" w:rsidRDefault="00D67E22" w:rsidP="00D67E22">
      <w:pPr>
        <w:pStyle w:val="Normal-pool"/>
        <w:numPr>
          <w:ilvl w:val="1"/>
          <w:numId w:val="25"/>
        </w:numPr>
        <w:tabs>
          <w:tab w:val="clear" w:pos="1247"/>
          <w:tab w:val="clear" w:pos="1814"/>
          <w:tab w:val="clear" w:pos="2381"/>
          <w:tab w:val="clear" w:pos="2948"/>
          <w:tab w:val="clear" w:pos="3515"/>
          <w:tab w:val="clear" w:pos="4082"/>
        </w:tabs>
        <w:spacing w:after="120"/>
        <w:ind w:left="1247" w:firstLine="624"/>
      </w:pPr>
      <w:r w:rsidRPr="00B831E7">
        <w:t xml:space="preserve">To facilitate the organization of joint inspections and enforcement operations led by members of the Environmental Network and to do so: </w:t>
      </w:r>
    </w:p>
    <w:p w14:paraId="404450F0" w14:textId="77777777" w:rsidR="00D67E22" w:rsidRPr="00B831E7" w:rsidRDefault="00D67E22" w:rsidP="00D67E22">
      <w:pPr>
        <w:pStyle w:val="Normal-pool"/>
        <w:numPr>
          <w:ilvl w:val="0"/>
          <w:numId w:val="26"/>
        </w:numPr>
        <w:tabs>
          <w:tab w:val="clear" w:pos="1247"/>
          <w:tab w:val="clear" w:pos="1814"/>
          <w:tab w:val="clear" w:pos="2381"/>
          <w:tab w:val="clear" w:pos="2948"/>
          <w:tab w:val="clear" w:pos="3515"/>
          <w:tab w:val="clear" w:pos="4082"/>
        </w:tabs>
        <w:spacing w:after="120"/>
        <w:ind w:left="3119" w:hanging="624"/>
      </w:pPr>
      <w:r w:rsidRPr="00B831E7">
        <w:t xml:space="preserve">In close cooperation with relevant organizations, in particular the European Union Network for the Implementation and Enforcement of Environmental Law, the International Criminal Police Organization and the World Customs </w:t>
      </w:r>
      <w:proofErr w:type="gramStart"/>
      <w:r w:rsidRPr="00B831E7">
        <w:t>Organization;</w:t>
      </w:r>
      <w:proofErr w:type="gramEnd"/>
      <w:r w:rsidRPr="00B831E7">
        <w:t xml:space="preserve"> </w:t>
      </w:r>
    </w:p>
    <w:p w14:paraId="17E1D903" w14:textId="77777777" w:rsidR="00D67E22" w:rsidRPr="00B831E7" w:rsidRDefault="00D67E22" w:rsidP="00D67E22">
      <w:pPr>
        <w:pStyle w:val="Normal-pool"/>
        <w:numPr>
          <w:ilvl w:val="0"/>
          <w:numId w:val="26"/>
        </w:numPr>
        <w:tabs>
          <w:tab w:val="clear" w:pos="1247"/>
          <w:tab w:val="clear" w:pos="1814"/>
          <w:tab w:val="clear" w:pos="2381"/>
          <w:tab w:val="clear" w:pos="2948"/>
          <w:tab w:val="clear" w:pos="3515"/>
          <w:tab w:val="clear" w:pos="4082"/>
        </w:tabs>
        <w:spacing w:after="120"/>
        <w:ind w:left="3119" w:hanging="624"/>
      </w:pPr>
      <w:r w:rsidRPr="00B831E7">
        <w:t xml:space="preserve">With the participation of all relevant national authorities, including environmental inspectorates, police and customs </w:t>
      </w:r>
      <w:proofErr w:type="gramStart"/>
      <w:r w:rsidRPr="00B831E7">
        <w:t>authorities;</w:t>
      </w:r>
      <w:proofErr w:type="gramEnd"/>
      <w:r w:rsidRPr="00B831E7">
        <w:t xml:space="preserve"> </w:t>
      </w:r>
    </w:p>
    <w:p w14:paraId="4E4F090D" w14:textId="77777777" w:rsidR="00D67E22" w:rsidRPr="00B831E7" w:rsidRDefault="00D67E22" w:rsidP="00D67E22">
      <w:pPr>
        <w:pStyle w:val="Normal-pool"/>
        <w:numPr>
          <w:ilvl w:val="0"/>
          <w:numId w:val="26"/>
        </w:numPr>
        <w:tabs>
          <w:tab w:val="clear" w:pos="1247"/>
          <w:tab w:val="clear" w:pos="1814"/>
          <w:tab w:val="clear" w:pos="2381"/>
          <w:tab w:val="clear" w:pos="2948"/>
          <w:tab w:val="clear" w:pos="3515"/>
          <w:tab w:val="clear" w:pos="4082"/>
        </w:tabs>
        <w:spacing w:after="120"/>
        <w:ind w:left="3119" w:hanging="624"/>
      </w:pPr>
      <w:r w:rsidRPr="00B831E7">
        <w:t>Focusing, where appropriate, on particular waste streams (e.g., plastic waste and e-waste</w:t>
      </w:r>
      <w:proofErr w:type="gramStart"/>
      <w:r w:rsidRPr="00B831E7">
        <w:t>);</w:t>
      </w:r>
      <w:proofErr w:type="gramEnd"/>
      <w:r w:rsidRPr="00B831E7">
        <w:t xml:space="preserve"> </w:t>
      </w:r>
    </w:p>
    <w:p w14:paraId="491B2412" w14:textId="77777777" w:rsidR="00D67E22" w:rsidRPr="00B831E7" w:rsidRDefault="00D67E22" w:rsidP="00D67E22">
      <w:pPr>
        <w:pStyle w:val="Normal-pool"/>
        <w:numPr>
          <w:ilvl w:val="1"/>
          <w:numId w:val="25"/>
        </w:numPr>
        <w:tabs>
          <w:tab w:val="clear" w:pos="1247"/>
          <w:tab w:val="clear" w:pos="1814"/>
          <w:tab w:val="clear" w:pos="2381"/>
          <w:tab w:val="clear" w:pos="2948"/>
          <w:tab w:val="clear" w:pos="3515"/>
          <w:tab w:val="clear" w:pos="4082"/>
        </w:tabs>
        <w:spacing w:after="120"/>
        <w:ind w:left="1247" w:firstLine="624"/>
      </w:pPr>
      <w:r w:rsidRPr="00B831E7">
        <w:t xml:space="preserve">To assist with the preparation of such joint inspections and enforcement operations by providing, in cooperation with members of the Environmental Network, training to the participating national authorities, including environmental inspectorates, police and customs </w:t>
      </w:r>
      <w:proofErr w:type="gramStart"/>
      <w:r w:rsidRPr="00B831E7">
        <w:t>authorities;</w:t>
      </w:r>
      <w:proofErr w:type="gramEnd"/>
      <w:r w:rsidRPr="00B831E7">
        <w:t xml:space="preserve"> </w:t>
      </w:r>
    </w:p>
    <w:p w14:paraId="3143930B" w14:textId="77777777" w:rsidR="00D67E22" w:rsidRPr="00B831E7" w:rsidRDefault="00D67E22" w:rsidP="00D67E22">
      <w:pPr>
        <w:pStyle w:val="Normal-pool"/>
        <w:numPr>
          <w:ilvl w:val="1"/>
          <w:numId w:val="25"/>
        </w:numPr>
        <w:tabs>
          <w:tab w:val="clear" w:pos="1247"/>
          <w:tab w:val="clear" w:pos="1814"/>
          <w:tab w:val="clear" w:pos="2381"/>
          <w:tab w:val="clear" w:pos="2948"/>
          <w:tab w:val="clear" w:pos="3515"/>
          <w:tab w:val="clear" w:pos="4082"/>
        </w:tabs>
        <w:spacing w:after="120"/>
        <w:ind w:left="1247" w:firstLine="624"/>
      </w:pPr>
      <w:r w:rsidRPr="00B831E7">
        <w:t xml:space="preserve">To follow up the operations with sessions on lessons learned particularly with respect to planning, the methods used and how existing enforcement structures might be developed and </w:t>
      </w:r>
      <w:proofErr w:type="gramStart"/>
      <w:r w:rsidRPr="00B831E7">
        <w:t>improved;</w:t>
      </w:r>
      <w:proofErr w:type="gramEnd"/>
    </w:p>
    <w:p w14:paraId="086CD1EF"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Requests</w:t>
      </w:r>
      <w:r w:rsidRPr="00B831E7">
        <w:t xml:space="preserve"> the Secretariat to communicate decisions on the prevention and combating of illegal traffic to relevant international organizations and invites those organizations to take those decisions into account in their </w:t>
      </w:r>
      <w:proofErr w:type="gramStart"/>
      <w:r w:rsidRPr="00B831E7">
        <w:t>processes;</w:t>
      </w:r>
      <w:proofErr w:type="gramEnd"/>
    </w:p>
    <w:p w14:paraId="51BE757F"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bCs/>
          <w:i/>
          <w:iCs/>
        </w:rPr>
        <w:t>Also requests</w:t>
      </w:r>
      <w:r w:rsidRPr="00B831E7">
        <w:rPr>
          <w:bCs/>
        </w:rPr>
        <w:t xml:space="preserve"> the Secretariat, subject to the availability of resources, </w:t>
      </w:r>
      <w:r w:rsidRPr="00B831E7">
        <w:t xml:space="preserve">to continue to facilitate and provide expertise to the Environmental Network and to organize annual meetings of the </w:t>
      </w:r>
      <w:proofErr w:type="gramStart"/>
      <w:r w:rsidRPr="00B831E7">
        <w:t>Network;</w:t>
      </w:r>
      <w:proofErr w:type="gramEnd"/>
      <w:r w:rsidRPr="00B831E7">
        <w:t xml:space="preserve"> </w:t>
      </w:r>
    </w:p>
    <w:p w14:paraId="12AE6168"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Further requests</w:t>
      </w:r>
      <w:r w:rsidRPr="00B831E7">
        <w:t xml:space="preserve"> the Secretariat, with a view to supporting the hosting and organization of workshops or online or virtual training and information sessions, in particular for developing countries, pursuant to paragraph 4 of the terms of reference of the Environmental Network, to organize, subject to the availability of resources, joint workshops involving the members of the Environmental Network to train the competent authorities and enforcement authorities dealing with illegal </w:t>
      </w:r>
      <w:proofErr w:type="gramStart"/>
      <w:r w:rsidRPr="00B831E7">
        <w:t>traffic;</w:t>
      </w:r>
      <w:proofErr w:type="gramEnd"/>
    </w:p>
    <w:p w14:paraId="46DB8535"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Seeks</w:t>
      </w:r>
      <w:r w:rsidRPr="00B831E7">
        <w:t xml:space="preserve"> to improve the dissemination of information by the Environmental Network, pursuant to paragraph 4 of the terms of reference of the Environmental Network</w:t>
      </w:r>
      <w:r w:rsidRPr="00B831E7">
        <w:rPr>
          <w:bCs/>
        </w:rPr>
        <w:t>:</w:t>
      </w:r>
    </w:p>
    <w:p w14:paraId="6E922575" w14:textId="77777777" w:rsidR="00D67E22" w:rsidRPr="00B831E7" w:rsidRDefault="00D67E22" w:rsidP="00D67E22">
      <w:pPr>
        <w:pStyle w:val="Normal-pool"/>
        <w:numPr>
          <w:ilvl w:val="1"/>
          <w:numId w:val="24"/>
        </w:numPr>
        <w:tabs>
          <w:tab w:val="clear" w:pos="1247"/>
          <w:tab w:val="clear" w:pos="1814"/>
          <w:tab w:val="clear" w:pos="2381"/>
          <w:tab w:val="clear" w:pos="2948"/>
          <w:tab w:val="clear" w:pos="3515"/>
          <w:tab w:val="clear" w:pos="4082"/>
        </w:tabs>
        <w:spacing w:after="120"/>
        <w:ind w:left="1247" w:firstLine="624"/>
      </w:pPr>
      <w:r w:rsidRPr="00B831E7">
        <w:t xml:space="preserve">By encouraging members of the Environmental Network to make available to the Secretariat, for dissemination on the website of the Convention, examples of best practices in relation to inspections of suspected illegal shipments and the enforcement of legislation prohibiting illegal shipments, including the planning and conduct of inspections and information on how the authorities deal with illegal </w:t>
      </w:r>
      <w:proofErr w:type="gramStart"/>
      <w:r w:rsidRPr="00B831E7">
        <w:t>shipments;</w:t>
      </w:r>
      <w:proofErr w:type="gramEnd"/>
    </w:p>
    <w:p w14:paraId="77B3E639" w14:textId="77777777" w:rsidR="00D67E22" w:rsidRPr="00B831E7" w:rsidRDefault="00D67E22" w:rsidP="00D67E22">
      <w:pPr>
        <w:pStyle w:val="Normal-pool"/>
        <w:numPr>
          <w:ilvl w:val="1"/>
          <w:numId w:val="24"/>
        </w:numPr>
        <w:tabs>
          <w:tab w:val="clear" w:pos="1247"/>
          <w:tab w:val="clear" w:pos="1814"/>
          <w:tab w:val="clear" w:pos="2381"/>
          <w:tab w:val="clear" w:pos="2948"/>
          <w:tab w:val="clear" w:pos="3515"/>
          <w:tab w:val="clear" w:pos="4082"/>
        </w:tabs>
        <w:spacing w:after="120"/>
        <w:ind w:left="1247" w:firstLine="624"/>
      </w:pPr>
      <w:r w:rsidRPr="00B831E7">
        <w:t xml:space="preserve">By requesting the Secretariat, subject to the availability of resources, to create a network of expertise among the members of the Environmental Network on the enforcement of the Convention, for instance by using the website to create a communication platform that could be used by stakeholders to contact the Environmental Network members and the Secretariat to share tips and best practices, ask questions and provide mutual </w:t>
      </w:r>
      <w:proofErr w:type="gramStart"/>
      <w:r w:rsidRPr="00B831E7">
        <w:t>support;</w:t>
      </w:r>
      <w:proofErr w:type="gramEnd"/>
      <w:r w:rsidRPr="00B831E7">
        <w:t xml:space="preserve"> </w:t>
      </w:r>
    </w:p>
    <w:p w14:paraId="4B940820"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bookmarkStart w:id="11" w:name="_Toc38364160"/>
      <w:bookmarkStart w:id="12" w:name="_Toc38364308"/>
      <w:bookmarkStart w:id="13" w:name="_Toc38364162"/>
      <w:bookmarkStart w:id="14" w:name="_Toc38364310"/>
      <w:bookmarkEnd w:id="11"/>
      <w:bookmarkEnd w:id="12"/>
      <w:bookmarkEnd w:id="13"/>
      <w:bookmarkEnd w:id="14"/>
      <w:r w:rsidRPr="00B831E7">
        <w:rPr>
          <w:i/>
          <w:iCs/>
        </w:rPr>
        <w:t xml:space="preserve">Decides, </w:t>
      </w:r>
      <w:r w:rsidRPr="00B831E7">
        <w:t xml:space="preserve">with a view to ensuring the sustainability of the efforts of the Environmental Network, pursuant to paragraph 4 of the terms of reference of the Environmental Network, that the </w:t>
      </w:r>
      <w:r w:rsidRPr="00B831E7">
        <w:lastRenderedPageBreak/>
        <w:t>programme of work and budget for the Basel Convention for the biennium 2022</w:t>
      </w:r>
      <w:r w:rsidRPr="00B831E7">
        <w:rPr>
          <w:rFonts w:ascii="Symbol" w:eastAsia="Symbol" w:hAnsi="Symbol" w:cs="Symbol"/>
        </w:rPr>
        <w:t>-</w:t>
      </w:r>
      <w:r w:rsidRPr="00B831E7">
        <w:t xml:space="preserve">2023 will provide for the separate funding of the activities of the Environmental Network, including its operational activities, its use of the Convention website to disseminate information and its training </w:t>
      </w:r>
      <w:proofErr w:type="gramStart"/>
      <w:r w:rsidRPr="00B831E7">
        <w:t>activities;</w:t>
      </w:r>
      <w:bookmarkStart w:id="15" w:name="_Toc38364164"/>
      <w:bookmarkStart w:id="16" w:name="_Toc38364312"/>
      <w:bookmarkEnd w:id="15"/>
      <w:bookmarkEnd w:id="16"/>
      <w:proofErr w:type="gramEnd"/>
    </w:p>
    <w:p w14:paraId="0908915D"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Also decides,</w:t>
      </w:r>
      <w:r w:rsidRPr="00B831E7">
        <w:t xml:space="preserve"> with a view to aligning the term of office of the Chair and Vice</w:t>
      </w:r>
      <w:r w:rsidRPr="00B831E7">
        <w:noBreakHyphen/>
        <w:t>Chair of the Environmental Network with the term of their membership, to amend paragraphs 18 and 19 of the terms of reference of the Environmental Network by deleting the text struck through below and adding the text underlined:</w:t>
      </w:r>
    </w:p>
    <w:p w14:paraId="28BD592E" w14:textId="77777777" w:rsidR="00D67E22" w:rsidRPr="00B831E7" w:rsidRDefault="00D67E22" w:rsidP="00D67E22">
      <w:pPr>
        <w:pStyle w:val="NormalNonumber"/>
        <w:tabs>
          <w:tab w:val="clear" w:pos="1247"/>
          <w:tab w:val="clear" w:pos="1814"/>
          <w:tab w:val="clear" w:pos="2381"/>
          <w:tab w:val="left" w:pos="2552"/>
        </w:tabs>
        <w:ind w:left="2495" w:hanging="624"/>
      </w:pPr>
      <w:bookmarkStart w:id="17" w:name="_Toc38364166"/>
      <w:bookmarkStart w:id="18" w:name="_Toc38364314"/>
      <w:bookmarkStart w:id="19" w:name="_Toc38364167"/>
      <w:bookmarkStart w:id="20" w:name="_Toc38364315"/>
      <w:bookmarkEnd w:id="17"/>
      <w:bookmarkEnd w:id="18"/>
      <w:bookmarkEnd w:id="19"/>
      <w:bookmarkEnd w:id="20"/>
      <w:r w:rsidRPr="00B831E7">
        <w:t>“18.</w:t>
      </w:r>
      <w:r w:rsidRPr="00B831E7">
        <w:tab/>
      </w:r>
      <w:r w:rsidRPr="00B831E7">
        <w:rPr>
          <w:u w:val="single"/>
        </w:rPr>
        <w:t>As soon as possible following each meeting of the Conference of the Parties,</w:t>
      </w:r>
      <w:r w:rsidRPr="00B831E7">
        <w:t xml:space="preserve"> </w:t>
      </w:r>
      <w:proofErr w:type="gramStart"/>
      <w:r w:rsidRPr="00B831E7">
        <w:rPr>
          <w:strike/>
        </w:rPr>
        <w:t>At</w:t>
      </w:r>
      <w:proofErr w:type="gramEnd"/>
      <w:r w:rsidRPr="00B831E7">
        <w:rPr>
          <w:strike/>
        </w:rPr>
        <w:t xml:space="preserve"> each meeting,</w:t>
      </w:r>
      <w:r w:rsidRPr="00B831E7">
        <w:t xml:space="preserve"> </w:t>
      </w:r>
      <w:r w:rsidRPr="00B831E7">
        <w:rPr>
          <w:u w:val="single"/>
        </w:rPr>
        <w:t>the</w:t>
      </w:r>
      <w:r w:rsidRPr="00B831E7">
        <w:t xml:space="preserve"> members of ENFORCE will elect a chair and a vice</w:t>
      </w:r>
      <w:r w:rsidRPr="00B831E7">
        <w:noBreakHyphen/>
        <w:t>chair</w:t>
      </w:r>
      <w:r w:rsidRPr="00B831E7">
        <w:rPr>
          <w:strike/>
        </w:rPr>
        <w:t xml:space="preserve"> among the representatives of the members at the meeting</w:t>
      </w:r>
      <w:r w:rsidRPr="00B831E7">
        <w:t xml:space="preserve">. </w:t>
      </w:r>
      <w:r w:rsidRPr="00B831E7">
        <w:rPr>
          <w:u w:val="single"/>
        </w:rPr>
        <w:t xml:space="preserve">The </w:t>
      </w:r>
      <w:proofErr w:type="spellStart"/>
      <w:r w:rsidRPr="00B831E7">
        <w:rPr>
          <w:u w:val="single"/>
        </w:rPr>
        <w:t>e</w:t>
      </w:r>
      <w:r w:rsidRPr="00B831E7">
        <w:rPr>
          <w:strike/>
        </w:rPr>
        <w:t>E</w:t>
      </w:r>
      <w:r w:rsidRPr="00B831E7">
        <w:t>lection</w:t>
      </w:r>
      <w:proofErr w:type="spellEnd"/>
      <w:r w:rsidRPr="00B831E7">
        <w:t xml:space="preserve"> will</w:t>
      </w:r>
      <w:r w:rsidRPr="00B831E7">
        <w:rPr>
          <w:strike/>
        </w:rPr>
        <w:t xml:space="preserve"> be based</w:t>
      </w:r>
      <w:r w:rsidRPr="00B831E7">
        <w:t xml:space="preserve">, as far as possible, </w:t>
      </w:r>
      <w:r w:rsidRPr="00B831E7">
        <w:rPr>
          <w:strike/>
        </w:rPr>
        <w:t xml:space="preserve">in a way to </w:t>
      </w:r>
      <w:r w:rsidRPr="00B831E7">
        <w:t xml:space="preserve">ensure rotation among the members of ENFORCE. </w:t>
      </w:r>
    </w:p>
    <w:p w14:paraId="0312FCA0" w14:textId="77777777" w:rsidR="00D67E22" w:rsidRPr="00B831E7" w:rsidRDefault="00D67E22" w:rsidP="00D67E22">
      <w:pPr>
        <w:pStyle w:val="NormalNonumber"/>
        <w:tabs>
          <w:tab w:val="clear" w:pos="1247"/>
          <w:tab w:val="clear" w:pos="1814"/>
          <w:tab w:val="clear" w:pos="2381"/>
          <w:tab w:val="left" w:pos="2552"/>
        </w:tabs>
        <w:ind w:left="2495" w:hanging="624"/>
      </w:pPr>
      <w:r w:rsidRPr="00B831E7">
        <w:rPr>
          <w:u w:val="single"/>
        </w:rPr>
        <w:t>19</w:t>
      </w:r>
      <w:r w:rsidRPr="00B831E7">
        <w:t>.</w:t>
      </w:r>
      <w:r w:rsidRPr="00B831E7">
        <w:tab/>
      </w:r>
      <w:r w:rsidRPr="00B831E7">
        <w:rPr>
          <w:strike/>
        </w:rPr>
        <w:t>At the first meeting of ENFORCE, a chair and vice-chair will be elected.</w:t>
      </w:r>
      <w:r w:rsidRPr="00B831E7">
        <w:t xml:space="preserve"> The chair and vice-chair will remain in office until the closure of the </w:t>
      </w:r>
      <w:r w:rsidRPr="00B831E7">
        <w:rPr>
          <w:strike/>
        </w:rPr>
        <w:t xml:space="preserve">first meeting of ENFORCE </w:t>
      </w:r>
      <w:proofErr w:type="gramStart"/>
      <w:r w:rsidRPr="00B831E7">
        <w:rPr>
          <w:strike/>
        </w:rPr>
        <w:t>subsequent to</w:t>
      </w:r>
      <w:proofErr w:type="gramEnd"/>
      <w:r w:rsidRPr="00B831E7">
        <w:rPr>
          <w:strike/>
        </w:rPr>
        <w:t xml:space="preserve"> the </w:t>
      </w:r>
      <w:r w:rsidRPr="00B831E7">
        <w:t>next meeting of the Conference of the Parties.</w:t>
      </w:r>
      <w:r w:rsidRPr="00B831E7">
        <w:rPr>
          <w:strike/>
        </w:rPr>
        <w:t xml:space="preserve"> The subsequent chair and vice-chair will commence their term of office at the closure of the meeting at which they are elected and will serve as chair and vice-chair until the closure of the first meeting of ENFORCE </w:t>
      </w:r>
      <w:proofErr w:type="gramStart"/>
      <w:r w:rsidRPr="00B831E7">
        <w:rPr>
          <w:strike/>
        </w:rPr>
        <w:t>subsequent to</w:t>
      </w:r>
      <w:proofErr w:type="gramEnd"/>
      <w:r w:rsidRPr="00B831E7">
        <w:rPr>
          <w:strike/>
        </w:rPr>
        <w:t xml:space="preserve"> the next meeting of the Conference of the Parties.</w:t>
      </w:r>
      <w:r w:rsidRPr="00B831E7">
        <w:t>”</w:t>
      </w:r>
    </w:p>
    <w:p w14:paraId="0A724179"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 xml:space="preserve">Further decides, </w:t>
      </w:r>
      <w:r w:rsidRPr="00B831E7">
        <w:t xml:space="preserve">with a view to mitigating risks associated with the current turnover in membership of and representation within the Environmental Network, which jeopardizes the continuity, consistency in approach and retention of knowledge and practice that the Environmental Network needs if it is to become more ambitious in the scope of its activities, to amend paragraphs 9 and 10 of the terms of reference of the Environmental Network by deleting the text struck through below and adding the text underlined: </w:t>
      </w:r>
    </w:p>
    <w:p w14:paraId="5C466D0A" w14:textId="77777777" w:rsidR="00D67E22" w:rsidRPr="00B831E7" w:rsidRDefault="00D67E22" w:rsidP="00D67E22">
      <w:pPr>
        <w:pStyle w:val="NormalNonumber"/>
        <w:keepNext/>
        <w:keepLines/>
        <w:tabs>
          <w:tab w:val="clear" w:pos="1247"/>
          <w:tab w:val="clear" w:pos="1814"/>
          <w:tab w:val="clear" w:pos="2381"/>
        </w:tabs>
        <w:ind w:left="2495" w:hanging="624"/>
      </w:pPr>
      <w:r w:rsidRPr="00B831E7">
        <w:t>“9.</w:t>
      </w:r>
      <w:r w:rsidRPr="00B831E7">
        <w:tab/>
        <w:t xml:space="preserve">At its fifteenth meeting, the Conference of the Parties shall elect three of the five party representatives mentioned above for one term and two of the five party representatives mentioned above for two terms. The Conference of the Parties shall, at each ordinary </w:t>
      </w:r>
      <w:proofErr w:type="gramStart"/>
      <w:r w:rsidRPr="00B831E7">
        <w:t>meeting</w:t>
      </w:r>
      <w:proofErr w:type="gramEnd"/>
      <w:r w:rsidRPr="00B831E7">
        <w:t xml:space="preserve"> thereafter, elect for two full terms new members to replace those members whose period of office has expired or is about to expire. Members shall not serve for more than two consecutive terms. For the purposes of the present terms of reference, “term” means the period that begins at the end of one ordinary meeting of the Conference of the Parties and ends at the end of the subsequent ordinary meeting of the Parties. </w:t>
      </w:r>
      <w:r w:rsidRPr="00B831E7">
        <w:rPr>
          <w:strike/>
        </w:rPr>
        <w:t xml:space="preserve">The five party representatives mentioned above shall be elected by the Conference of the Parties at each of its meetings, based on nominations from each regional group. Elected party representatives are eligible for re-election at subsequent meetings of the Conference of the Parties to the Basel Convention. </w:t>
      </w:r>
    </w:p>
    <w:p w14:paraId="14D1FE4E" w14:textId="77777777" w:rsidR="00D67E22" w:rsidRPr="00B831E7" w:rsidRDefault="00D67E22" w:rsidP="00D67E22">
      <w:pPr>
        <w:pStyle w:val="NormalNonumber"/>
        <w:tabs>
          <w:tab w:val="clear" w:pos="1247"/>
          <w:tab w:val="clear" w:pos="1814"/>
          <w:tab w:val="clear" w:pos="2381"/>
        </w:tabs>
        <w:ind w:left="2495" w:hanging="624"/>
      </w:pPr>
      <w:r w:rsidRPr="00B831E7">
        <w:t>10.</w:t>
      </w:r>
      <w:r w:rsidRPr="00B831E7">
        <w:tab/>
        <w:t xml:space="preserve">At its fifteenth meeting, the Conference of the Parties shall designate two of </w:t>
      </w:r>
      <w:proofErr w:type="spellStart"/>
      <w:r w:rsidRPr="00B831E7">
        <w:t>t</w:t>
      </w:r>
      <w:r w:rsidRPr="00B831E7">
        <w:rPr>
          <w:strike/>
        </w:rPr>
        <w:t>T</w:t>
      </w:r>
      <w:r w:rsidRPr="00B831E7">
        <w:t>he</w:t>
      </w:r>
      <w:proofErr w:type="spellEnd"/>
      <w:r w:rsidRPr="00B831E7">
        <w:t xml:space="preserve"> four representatives of the Basel Convention regional and coordinating centres for one term and two of the four representatives of the Basel Convention regional and coordinating centres for two terms. The Conference of the Parties shall, at each ordinary </w:t>
      </w:r>
      <w:proofErr w:type="gramStart"/>
      <w:r w:rsidRPr="00B831E7">
        <w:t>meeting</w:t>
      </w:r>
      <w:proofErr w:type="gramEnd"/>
      <w:r w:rsidRPr="00B831E7">
        <w:t xml:space="preserve"> thereafter, designate for two full terms new members to replace those members whose period of office has expired or is about to expire. Members shall not serve for more than two consecutive terms. For the purposes of the present terms of reference, “term” means the period that begins at the end of one ordinary meeting of the Conference of the Parties and ends at the end of the subsequent ordinary meeting of the Parties. </w:t>
      </w:r>
      <w:r w:rsidRPr="00B831E7">
        <w:rPr>
          <w:strike/>
        </w:rPr>
        <w:t>shall be designated by the Conference of the Parties at each of its meetings, based on nominations from each regional group. The elected representatives are eligible for re-election at subsequent meetings of the Conference of the Parties to the Basel Convention</w:t>
      </w:r>
      <w:r w:rsidRPr="00B831E7">
        <w:t>.”</w:t>
      </w:r>
    </w:p>
    <w:p w14:paraId="5715AD2F" w14:textId="77777777" w:rsidR="00D67E22" w:rsidRPr="00B831E7" w:rsidRDefault="00D67E22" w:rsidP="00D67E22">
      <w:pPr>
        <w:pStyle w:val="CH4"/>
        <w:keepNext w:val="0"/>
        <w:keepLines w:val="0"/>
      </w:pPr>
      <w:r w:rsidRPr="00B831E7">
        <w:tab/>
      </w:r>
      <w:r w:rsidRPr="00B831E7">
        <w:tab/>
        <w:t>Illegal traffic: dissemination of guidance and tools</w:t>
      </w:r>
    </w:p>
    <w:p w14:paraId="75A1BC69"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Requests</w:t>
      </w:r>
      <w:r w:rsidRPr="00B831E7">
        <w:t xml:space="preserve"> the Secretariat:</w:t>
      </w:r>
    </w:p>
    <w:p w14:paraId="58C60E44" w14:textId="77777777" w:rsidR="00D67E22" w:rsidRPr="00B831E7" w:rsidRDefault="00D67E22" w:rsidP="00D67E22">
      <w:pPr>
        <w:pStyle w:val="Normal-pool"/>
        <w:numPr>
          <w:ilvl w:val="1"/>
          <w:numId w:val="23"/>
        </w:numPr>
        <w:tabs>
          <w:tab w:val="clear" w:pos="1247"/>
          <w:tab w:val="clear" w:pos="1814"/>
          <w:tab w:val="clear" w:pos="2381"/>
          <w:tab w:val="clear" w:pos="2948"/>
          <w:tab w:val="clear" w:pos="3515"/>
          <w:tab w:val="clear" w:pos="4082"/>
        </w:tabs>
        <w:spacing w:after="120"/>
        <w:ind w:left="1247" w:firstLine="624"/>
      </w:pPr>
      <w:r w:rsidRPr="00B831E7">
        <w:lastRenderedPageBreak/>
        <w:t xml:space="preserve">To develop and implement, subject to the availability of resources, a sustainable and effective dissemination strategy to raise awareness and improve knowledge of guidance and training tools developed under the Convention that aim to prevent and combat illegal </w:t>
      </w:r>
      <w:proofErr w:type="gramStart"/>
      <w:r w:rsidRPr="00B831E7">
        <w:t>traffic;</w:t>
      </w:r>
      <w:proofErr w:type="gramEnd"/>
    </w:p>
    <w:p w14:paraId="411E25F0" w14:textId="77777777" w:rsidR="00D67E22" w:rsidRPr="00B831E7" w:rsidRDefault="00D67E22" w:rsidP="00D67E22">
      <w:pPr>
        <w:pStyle w:val="Normal-pool"/>
        <w:numPr>
          <w:ilvl w:val="1"/>
          <w:numId w:val="23"/>
        </w:numPr>
        <w:tabs>
          <w:tab w:val="clear" w:pos="1247"/>
          <w:tab w:val="clear" w:pos="1814"/>
          <w:tab w:val="clear" w:pos="2381"/>
          <w:tab w:val="clear" w:pos="2948"/>
          <w:tab w:val="clear" w:pos="3515"/>
          <w:tab w:val="clear" w:pos="4082"/>
        </w:tabs>
        <w:spacing w:after="120"/>
        <w:ind w:left="1247" w:firstLine="624"/>
      </w:pPr>
      <w:r w:rsidRPr="00B831E7">
        <w:t xml:space="preserve">To translate into the six official languages of the United Nations its training tools aimed at preventing and combating illegal traffic, subject to the availability of </w:t>
      </w:r>
      <w:proofErr w:type="gramStart"/>
      <w:r w:rsidRPr="00B831E7">
        <w:t>resources;</w:t>
      </w:r>
      <w:proofErr w:type="gramEnd"/>
    </w:p>
    <w:p w14:paraId="3CA23CDB" w14:textId="77777777" w:rsidR="00D67E22" w:rsidRPr="00B831E7" w:rsidRDefault="00D67E22" w:rsidP="00D67E22">
      <w:pPr>
        <w:pStyle w:val="Normal-pool"/>
        <w:numPr>
          <w:ilvl w:val="1"/>
          <w:numId w:val="23"/>
        </w:numPr>
        <w:tabs>
          <w:tab w:val="clear" w:pos="1247"/>
          <w:tab w:val="clear" w:pos="1814"/>
          <w:tab w:val="clear" w:pos="2381"/>
          <w:tab w:val="clear" w:pos="2948"/>
          <w:tab w:val="clear" w:pos="3515"/>
          <w:tab w:val="clear" w:pos="4082"/>
        </w:tabs>
        <w:spacing w:after="120"/>
        <w:ind w:left="1247" w:firstLine="624"/>
        <w:rPr>
          <w:bCs/>
        </w:rPr>
      </w:pPr>
      <w:r w:rsidRPr="00B831E7">
        <w:t xml:space="preserve">To disseminate, including through online sessions, to Basel Convention regional and coordinating centres, the United Nations Environment Programme and enforcement organizations such as the International Criminal Police Organization and the World Customs Organization, including as part of the activities of the Environmental Network, </w:t>
      </w:r>
      <w:r w:rsidRPr="00B831E7">
        <w:rPr>
          <w:bCs/>
        </w:rPr>
        <w:t xml:space="preserve">guidance and training tools developed under the Convention that aim to prevent and combat illegal </w:t>
      </w:r>
      <w:proofErr w:type="gramStart"/>
      <w:r w:rsidRPr="00B831E7">
        <w:rPr>
          <w:bCs/>
        </w:rPr>
        <w:t>traffic</w:t>
      </w:r>
      <w:r w:rsidRPr="00B831E7">
        <w:t>;</w:t>
      </w:r>
      <w:proofErr w:type="gramEnd"/>
    </w:p>
    <w:p w14:paraId="37058124"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rPr>
          <w:bCs/>
        </w:rPr>
      </w:pPr>
      <w:r w:rsidRPr="00B831E7">
        <w:rPr>
          <w:i/>
          <w:iCs/>
        </w:rPr>
        <w:t>Encourages</w:t>
      </w:r>
      <w:r w:rsidRPr="00B831E7">
        <w:t xml:space="preserve"> organizations with a mandate to assist Parties in preventing and combating illegal traffic to include, on their websites, links to the Basel Convention website and to make available on their websites, disseminate and use in their enforcement and training activities, </w:t>
      </w:r>
      <w:r w:rsidRPr="00B831E7">
        <w:rPr>
          <w:bCs/>
        </w:rPr>
        <w:t xml:space="preserve">guidance and training tools developed under the Convention that aim to prevent and combat illegal </w:t>
      </w:r>
      <w:proofErr w:type="gramStart"/>
      <w:r w:rsidRPr="00B831E7">
        <w:rPr>
          <w:bCs/>
        </w:rPr>
        <w:t>traffic;</w:t>
      </w:r>
      <w:proofErr w:type="gramEnd"/>
    </w:p>
    <w:p w14:paraId="693804E9"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rPr>
          <w:bCs/>
        </w:rPr>
      </w:pPr>
      <w:r w:rsidRPr="00B831E7">
        <w:rPr>
          <w:i/>
          <w:iCs/>
        </w:rPr>
        <w:t>Encourages</w:t>
      </w:r>
      <w:r w:rsidRPr="00B831E7">
        <w:rPr>
          <w:bCs/>
        </w:rPr>
        <w:t xml:space="preserve"> Parties to disseminate at the national level, through coordination or other communication mechanisms, to all stakeholders involved in the enforcement chain, guidance and training tools developed under the Convention that aim to prevent and combat illegal </w:t>
      </w:r>
      <w:proofErr w:type="gramStart"/>
      <w:r w:rsidRPr="00B831E7">
        <w:rPr>
          <w:bCs/>
        </w:rPr>
        <w:t>traffic;</w:t>
      </w:r>
      <w:proofErr w:type="gramEnd"/>
    </w:p>
    <w:p w14:paraId="25215FBF" w14:textId="77777777" w:rsidR="00D67E22" w:rsidRPr="00B831E7" w:rsidRDefault="00D67E22" w:rsidP="00D67E22">
      <w:pPr>
        <w:pStyle w:val="CH4"/>
        <w:keepNext w:val="0"/>
        <w:keepLines w:val="0"/>
      </w:pPr>
      <w:r w:rsidRPr="00B831E7">
        <w:tab/>
      </w:r>
      <w:r w:rsidRPr="00B831E7">
        <w:tab/>
        <w:t>Illegal traffic: activities of the Secretariat aimed at assisting Parties in preventing and combating illegal traffic</w:t>
      </w:r>
    </w:p>
    <w:p w14:paraId="0C62FAF5"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Welcomes</w:t>
      </w:r>
      <w:r w:rsidRPr="00B831E7">
        <w:t xml:space="preserve"> the provision by the Secretariat, upon request, of advice on matters pertaining to the implementation and enforcement of the Convention and its efforts to provide capacity-building and technical assistance to Parties to support their implementation and enforcement of the control regime of the Convention and to prevent and combat illegal </w:t>
      </w:r>
      <w:proofErr w:type="gramStart"/>
      <w:r w:rsidRPr="00B831E7">
        <w:t>traffic;</w:t>
      </w:r>
      <w:proofErr w:type="gramEnd"/>
    </w:p>
    <w:p w14:paraId="4C4230F1" w14:textId="77777777" w:rsidR="00D67E22" w:rsidRPr="00B831E7" w:rsidRDefault="00D67E22" w:rsidP="00D67E22">
      <w:pPr>
        <w:pStyle w:val="CH4"/>
        <w:keepNext w:val="0"/>
        <w:keepLines w:val="0"/>
      </w:pPr>
      <w:r w:rsidRPr="00B831E7">
        <w:tab/>
      </w:r>
      <w:r w:rsidRPr="00B831E7">
        <w:tab/>
        <w:t>National legislation: activities of other entities aimed at assisting Parties in reviewing or developing legislation implementing the Basel Convention</w:t>
      </w:r>
    </w:p>
    <w:p w14:paraId="225C6046"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Encourages</w:t>
      </w:r>
      <w:r w:rsidRPr="00B831E7">
        <w:t xml:space="preserve"> the Basel Convention regional and coordinating centres, the United Nations Environment </w:t>
      </w:r>
      <w:proofErr w:type="gramStart"/>
      <w:r w:rsidRPr="00B831E7">
        <w:t>Programme</w:t>
      </w:r>
      <w:proofErr w:type="gramEnd"/>
      <w:r w:rsidRPr="00B831E7">
        <w:t xml:space="preserve"> and other entities such as the Food and Agriculture Organization of the United Nations, the Global Environment Facility, the United Nations Development Programme, the United Nations Industrial Development Organization, the World Bank and regional development banks:</w:t>
      </w:r>
    </w:p>
    <w:p w14:paraId="4CE62549" w14:textId="77777777" w:rsidR="00D67E22" w:rsidRPr="00B831E7" w:rsidRDefault="00D67E22" w:rsidP="00D67E22">
      <w:pPr>
        <w:pStyle w:val="Normal-pool"/>
        <w:numPr>
          <w:ilvl w:val="1"/>
          <w:numId w:val="22"/>
        </w:numPr>
        <w:tabs>
          <w:tab w:val="clear" w:pos="1247"/>
          <w:tab w:val="clear" w:pos="1814"/>
          <w:tab w:val="clear" w:pos="2381"/>
          <w:tab w:val="clear" w:pos="2948"/>
          <w:tab w:val="clear" w:pos="3515"/>
          <w:tab w:val="clear" w:pos="4082"/>
        </w:tabs>
        <w:spacing w:after="120"/>
        <w:ind w:left="1247" w:firstLine="624"/>
      </w:pPr>
      <w:r w:rsidRPr="00B831E7">
        <w:t xml:space="preserve">To cooperate with the Committee, including by replying to questionnaires seeking information to enable the Committee to fulfil its mandate to improve implementation of and compliance with paragraph 4 of Article 4 and paragraph 5 of Article 9 of the </w:t>
      </w:r>
      <w:proofErr w:type="gramStart"/>
      <w:r w:rsidRPr="00B831E7">
        <w:t>Convention;</w:t>
      </w:r>
      <w:proofErr w:type="gramEnd"/>
    </w:p>
    <w:p w14:paraId="343142C7" w14:textId="77777777" w:rsidR="00D67E22" w:rsidRPr="00B831E7" w:rsidRDefault="00D67E22" w:rsidP="00D67E22">
      <w:pPr>
        <w:pStyle w:val="Normal-pool"/>
        <w:numPr>
          <w:ilvl w:val="1"/>
          <w:numId w:val="22"/>
        </w:numPr>
        <w:tabs>
          <w:tab w:val="clear" w:pos="1247"/>
          <w:tab w:val="clear" w:pos="1814"/>
          <w:tab w:val="clear" w:pos="2381"/>
          <w:tab w:val="clear" w:pos="2948"/>
          <w:tab w:val="clear" w:pos="3515"/>
          <w:tab w:val="clear" w:pos="4082"/>
        </w:tabs>
        <w:spacing w:after="120"/>
        <w:ind w:left="1247" w:firstLine="624"/>
      </w:pPr>
      <w:r w:rsidRPr="00B831E7">
        <w:t xml:space="preserve">To participate as observers in the technical assistance activities of the Secretariat (webinars, regional workshops, activities at the country level) aimed at supporting Parties in the development of legal frameworks implementing the </w:t>
      </w:r>
      <w:proofErr w:type="gramStart"/>
      <w:r w:rsidRPr="00B831E7">
        <w:t>Convention;</w:t>
      </w:r>
      <w:proofErr w:type="gramEnd"/>
    </w:p>
    <w:p w14:paraId="60DB9D4A"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Encourages</w:t>
      </w:r>
      <w:r w:rsidRPr="00B831E7">
        <w:t xml:space="preserve"> Parties, in the context of the identification of their technical assistance needs, for instance when completing the Secretariat’s questionnaire thereon, when developing the business plans of the Basel Convention regional and coordinating centres and when developing their United Nations Sustainable Development Cooperation Framework, to include, as a priority activity, the development of legal frameworks implementing the Convention, including any amendments thereto, as </w:t>
      </w:r>
      <w:proofErr w:type="gramStart"/>
      <w:r w:rsidRPr="00B831E7">
        <w:t>appropriate;</w:t>
      </w:r>
      <w:proofErr w:type="gramEnd"/>
      <w:r w:rsidRPr="00B831E7">
        <w:t xml:space="preserve"> </w:t>
      </w:r>
      <w:bookmarkStart w:id="21" w:name="_Hlk36471511"/>
    </w:p>
    <w:p w14:paraId="642E0748"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Encourages</w:t>
      </w:r>
      <w:r w:rsidRPr="00B831E7">
        <w:t xml:space="preserve"> the Basel Convention regional and coordinating centres, the Executive Board of the Special Programme to support institutional strengthening at the national level for implementation of the Basel, Rotterdam and Stockholm conventions, the Minamata Convention and the Strategic Approach to International Chemicals Management, the United Nations Environment Programme and other entities such as the Food and Agriculture Organization of the United Nations, the United Nations Development Programme, the United Nations Industrial Development Organization, the World Bank and regional development banks, as well as the Global Environment Facility in the context of relevant activities funded under the Stockholm Convention, to include the </w:t>
      </w:r>
      <w:r w:rsidRPr="00B831E7">
        <w:lastRenderedPageBreak/>
        <w:t>development of legal frameworks implementing the Convention as a concrete output of their activities or to seek the inclusion the development thereof in activities funded by them, to support Parties in the implementation of the Convention</w:t>
      </w:r>
      <w:bookmarkEnd w:id="21"/>
      <w:r w:rsidRPr="00B831E7">
        <w:t xml:space="preserve">; </w:t>
      </w:r>
    </w:p>
    <w:p w14:paraId="54DA4878" w14:textId="77777777" w:rsidR="00D67E22" w:rsidRPr="00B831E7" w:rsidRDefault="00D67E22" w:rsidP="00D67E22">
      <w:pPr>
        <w:pStyle w:val="CH4"/>
        <w:keepNext w:val="0"/>
        <w:keepLines w:val="0"/>
      </w:pPr>
      <w:r w:rsidRPr="00B831E7">
        <w:tab/>
      </w:r>
      <w:r w:rsidRPr="00B831E7">
        <w:tab/>
        <w:t>Control system</w:t>
      </w:r>
    </w:p>
    <w:p w14:paraId="551B1256"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Adopts</w:t>
      </w:r>
      <w:r w:rsidRPr="00B831E7">
        <w:t xml:space="preserve"> the </w:t>
      </w:r>
      <w:bookmarkStart w:id="22" w:name="_Hlk106803903"/>
      <w:r w:rsidRPr="00B831E7">
        <w:t>guidance to improve the implementation of paragraph 11 of Article 6 of the Convention on insurance, bond and guarantee</w:t>
      </w:r>
      <w:bookmarkEnd w:id="22"/>
      <w:r w:rsidRPr="00B831E7">
        <w:rPr>
          <w:vertAlign w:val="superscript"/>
        </w:rPr>
        <w:footnoteReference w:id="4"/>
      </w:r>
      <w:r w:rsidRPr="00B831E7">
        <w:t xml:space="preserve"> and encourages Parties and relevant stakeholders to use </w:t>
      </w:r>
      <w:proofErr w:type="gramStart"/>
      <w:r w:rsidRPr="00B831E7">
        <w:t>it;</w:t>
      </w:r>
      <w:proofErr w:type="gramEnd"/>
    </w:p>
    <w:p w14:paraId="0A9B58EB"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Also adopts</w:t>
      </w:r>
      <w:r w:rsidRPr="00B831E7">
        <w:t xml:space="preserve"> the </w:t>
      </w:r>
      <w:bookmarkStart w:id="24" w:name="_Hlk106803916"/>
      <w:r w:rsidRPr="00B831E7">
        <w:t xml:space="preserve">guidance on the </w:t>
      </w:r>
      <w:r w:rsidRPr="00B831E7">
        <w:rPr>
          <w:lang w:eastAsia="ar-SA"/>
        </w:rPr>
        <w:t>implementation of paragraph 4 of Article 6 of the Convention</w:t>
      </w:r>
      <w:r w:rsidRPr="00B831E7">
        <w:t xml:space="preserve"> on transit transboundary movements</w:t>
      </w:r>
      <w:bookmarkEnd w:id="24"/>
      <w:r w:rsidRPr="00B831E7">
        <w:rPr>
          <w:rStyle w:val="FootnoteReference"/>
        </w:rPr>
        <w:footnoteReference w:id="5"/>
      </w:r>
      <w:r w:rsidRPr="00B831E7">
        <w:t xml:space="preserve"> and encourages Parties and relevant stakeholders to use </w:t>
      </w:r>
      <w:proofErr w:type="gramStart"/>
      <w:r w:rsidRPr="00B831E7">
        <w:t>it;</w:t>
      </w:r>
      <w:proofErr w:type="gramEnd"/>
    </w:p>
    <w:p w14:paraId="04AEE386"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iCs/>
        </w:rPr>
        <w:t>Takes note</w:t>
      </w:r>
      <w:r w:rsidRPr="00B831E7">
        <w:t xml:space="preserve"> of the definitions/understandings by Parties of “transit” and “State of transit” in response to questions 3 (h) (</w:t>
      </w:r>
      <w:proofErr w:type="spellStart"/>
      <w:r w:rsidRPr="00B831E7">
        <w:t>i</w:t>
      </w:r>
      <w:proofErr w:type="spellEnd"/>
      <w:r w:rsidRPr="00B831E7">
        <w:t xml:space="preserve">) and 3 (h) (ii) of national reports for 2017–2019 and to the 2016 and 2021 questionnaires of the Implementation and Compliance Committee on transit transboundary movements (status as </w:t>
      </w:r>
      <w:proofErr w:type="gramStart"/>
      <w:r w:rsidRPr="00B831E7">
        <w:t>at</w:t>
      </w:r>
      <w:proofErr w:type="gramEnd"/>
      <w:r w:rsidRPr="00B831E7">
        <w:t xml:space="preserve"> 1 October 2021)</w:t>
      </w:r>
      <w:r w:rsidRPr="00B831E7">
        <w:rPr>
          <w:rStyle w:val="FootnoteReference"/>
        </w:rPr>
        <w:footnoteReference w:id="6"/>
      </w:r>
      <w:r w:rsidRPr="00B831E7">
        <w:t xml:space="preserve"> and requests the Secretariat to maintain on the website a list of Parties’ definitions and understandings in relation to the meaning of transit;</w:t>
      </w:r>
    </w:p>
    <w:p w14:paraId="445B4F57" w14:textId="77777777" w:rsidR="00D67E22" w:rsidRPr="00B831E7" w:rsidRDefault="00D67E22" w:rsidP="00D67E22">
      <w:pPr>
        <w:pStyle w:val="CH2"/>
        <w:ind w:firstLine="0"/>
        <w:jc w:val="center"/>
      </w:pPr>
      <w:r w:rsidRPr="00B831E7">
        <w:t>III</w:t>
      </w:r>
    </w:p>
    <w:p w14:paraId="7DFF9744" w14:textId="77777777" w:rsidR="00D67E22" w:rsidRPr="00B831E7" w:rsidRDefault="00D67E22" w:rsidP="00D67E22">
      <w:pPr>
        <w:pStyle w:val="CH2"/>
        <w:spacing w:before="80"/>
        <w:ind w:firstLine="0"/>
        <w:jc w:val="center"/>
      </w:pPr>
      <w:r w:rsidRPr="00B831E7">
        <w:t>Work programme for the biennium 2022–2023</w:t>
      </w:r>
    </w:p>
    <w:p w14:paraId="515B03AA"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rPr>
        <w:t xml:space="preserve">Approves </w:t>
      </w:r>
      <w:r w:rsidRPr="00B831E7">
        <w:t xml:space="preserve">the work programme of the Committee for the biennium 2022–2023 set out in the annex to the present </w:t>
      </w:r>
      <w:proofErr w:type="gramStart"/>
      <w:r w:rsidRPr="00B831E7">
        <w:t>decision;</w:t>
      </w:r>
      <w:proofErr w:type="gramEnd"/>
    </w:p>
    <w:p w14:paraId="2BA86341"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rPr>
        <w:t xml:space="preserve">Requests </w:t>
      </w:r>
      <w:r w:rsidRPr="00B831E7">
        <w:t>the Committee:</w:t>
      </w:r>
    </w:p>
    <w:p w14:paraId="75F48DED" w14:textId="77777777" w:rsidR="00D67E22" w:rsidRPr="00B831E7" w:rsidRDefault="00D67E22" w:rsidP="00D67E22">
      <w:pPr>
        <w:pStyle w:val="Normal-pool"/>
        <w:numPr>
          <w:ilvl w:val="1"/>
          <w:numId w:val="21"/>
        </w:numPr>
        <w:tabs>
          <w:tab w:val="clear" w:pos="1247"/>
          <w:tab w:val="clear" w:pos="1814"/>
          <w:tab w:val="clear" w:pos="2381"/>
          <w:tab w:val="clear" w:pos="2948"/>
          <w:tab w:val="clear" w:pos="3515"/>
          <w:tab w:val="clear" w:pos="4082"/>
        </w:tabs>
        <w:spacing w:after="120"/>
        <w:ind w:left="1247" w:firstLine="624"/>
      </w:pPr>
      <w:r w:rsidRPr="00B831E7">
        <w:t>To establish priorities, work methods and schedules for the activities in its work programme and to coordinate with the Open</w:t>
      </w:r>
      <w:r w:rsidRPr="00B831E7">
        <w:noBreakHyphen/>
        <w:t xml:space="preserve">ended Working Group, the Secretariat and the Basel Convention regional and coordinating centres to avoid duplication of </w:t>
      </w:r>
      <w:proofErr w:type="gramStart"/>
      <w:r w:rsidRPr="00B831E7">
        <w:t>activities;</w:t>
      </w:r>
      <w:proofErr w:type="gramEnd"/>
      <w:r w:rsidRPr="00B831E7">
        <w:t xml:space="preserve"> </w:t>
      </w:r>
    </w:p>
    <w:p w14:paraId="41F5AAB8" w14:textId="77777777" w:rsidR="00D67E22" w:rsidRPr="00B831E7" w:rsidRDefault="00D67E22" w:rsidP="00D67E22">
      <w:pPr>
        <w:pStyle w:val="Normal-pool"/>
        <w:numPr>
          <w:ilvl w:val="1"/>
          <w:numId w:val="21"/>
        </w:numPr>
        <w:tabs>
          <w:tab w:val="clear" w:pos="1247"/>
          <w:tab w:val="clear" w:pos="1814"/>
          <w:tab w:val="clear" w:pos="2381"/>
          <w:tab w:val="clear" w:pos="2948"/>
          <w:tab w:val="clear" w:pos="3515"/>
          <w:tab w:val="clear" w:pos="4082"/>
        </w:tabs>
        <w:spacing w:after="120"/>
        <w:ind w:left="1247" w:firstLine="624"/>
      </w:pPr>
      <w:r w:rsidRPr="00B831E7">
        <w:t>To consult Parties, in advance of the sixteenth meeting of the Conference of the Parties, on a draft work programme for the biennium 2024–</w:t>
      </w:r>
      <w:proofErr w:type="gramStart"/>
      <w:r w:rsidRPr="00B831E7">
        <w:t>2025;</w:t>
      </w:r>
      <w:proofErr w:type="gramEnd"/>
    </w:p>
    <w:p w14:paraId="08A324CC" w14:textId="77777777" w:rsidR="00D67E22" w:rsidRPr="00B831E7" w:rsidRDefault="00D67E22" w:rsidP="00D67E22">
      <w:pPr>
        <w:pStyle w:val="Normal-pool"/>
        <w:numPr>
          <w:ilvl w:val="1"/>
          <w:numId w:val="21"/>
        </w:numPr>
        <w:tabs>
          <w:tab w:val="clear" w:pos="1247"/>
          <w:tab w:val="clear" w:pos="1814"/>
          <w:tab w:val="clear" w:pos="2381"/>
          <w:tab w:val="clear" w:pos="2948"/>
          <w:tab w:val="clear" w:pos="3515"/>
          <w:tab w:val="clear" w:pos="4082"/>
        </w:tabs>
        <w:spacing w:after="120"/>
        <w:ind w:left="1247" w:firstLine="624"/>
      </w:pPr>
      <w:r w:rsidRPr="00B831E7">
        <w:t xml:space="preserve">To report to the Conference of the Parties at its sixteenth meeting on the work it has carried out to fulfil its functions, in accordance with paragraphs 23 and 24 of the terms of reference of the mechanism for promoting implementation and </w:t>
      </w:r>
      <w:proofErr w:type="gramStart"/>
      <w:r w:rsidRPr="00B831E7">
        <w:t>compliance;</w:t>
      </w:r>
      <w:proofErr w:type="gramEnd"/>
    </w:p>
    <w:p w14:paraId="75C75250" w14:textId="77777777" w:rsidR="00D67E22" w:rsidRPr="00B831E7" w:rsidRDefault="00D67E22" w:rsidP="00D67E22">
      <w:pPr>
        <w:pStyle w:val="CH2"/>
        <w:ind w:firstLine="0"/>
        <w:jc w:val="center"/>
      </w:pPr>
      <w:r w:rsidRPr="00B831E7">
        <w:t>IV</w:t>
      </w:r>
    </w:p>
    <w:p w14:paraId="7AADCDB5" w14:textId="77777777" w:rsidR="00D67E22" w:rsidRPr="00B831E7" w:rsidRDefault="00D67E22" w:rsidP="00D67E22">
      <w:pPr>
        <w:pStyle w:val="CH2"/>
        <w:spacing w:before="80"/>
        <w:ind w:firstLine="0"/>
        <w:jc w:val="center"/>
      </w:pPr>
      <w:r w:rsidRPr="00B831E7">
        <w:t>Election of members of the Committee</w:t>
      </w:r>
    </w:p>
    <w:p w14:paraId="78B98253"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rPr>
          <w:i/>
        </w:rPr>
        <w:t>Elects</w:t>
      </w:r>
      <w:r w:rsidRPr="00B831E7">
        <w:t>, in accordance with the terms of reference of the mechanism for promoting implementation and compliance with the Basel Convention,</w:t>
      </w:r>
      <w:r w:rsidRPr="00B831E7">
        <w:rPr>
          <w:vertAlign w:val="superscript"/>
        </w:rPr>
        <w:footnoteReference w:id="7"/>
      </w:r>
      <w:r w:rsidRPr="00B831E7">
        <w:t xml:space="preserve"> the following members to serve on the Committee until the close of the seventeenth meeting of the Conference of the Parties:</w:t>
      </w:r>
    </w:p>
    <w:p w14:paraId="7FC9A7CE" w14:textId="77777777" w:rsidR="00D67E22" w:rsidRPr="00B831E7" w:rsidRDefault="00D67E22" w:rsidP="00D67E22">
      <w:pPr>
        <w:pStyle w:val="NormalNonumber"/>
        <w:ind w:left="2495"/>
      </w:pPr>
      <w:r w:rsidRPr="00B831E7">
        <w:rPr>
          <w:b/>
        </w:rPr>
        <w:t>African States</w:t>
      </w:r>
      <w:r w:rsidRPr="00B831E7">
        <w:t xml:space="preserve">: Ms. Patience </w:t>
      </w:r>
      <w:proofErr w:type="spellStart"/>
      <w:r w:rsidRPr="00B831E7">
        <w:t>Nambalirwa</w:t>
      </w:r>
      <w:proofErr w:type="spellEnd"/>
      <w:r w:rsidRPr="00B831E7">
        <w:t xml:space="preserve"> </w:t>
      </w:r>
      <w:proofErr w:type="spellStart"/>
      <w:r w:rsidRPr="00B831E7">
        <w:t>Nsereko</w:t>
      </w:r>
      <w:proofErr w:type="spellEnd"/>
      <w:r w:rsidRPr="00B831E7">
        <w:t xml:space="preserve"> (Uganda) </w:t>
      </w:r>
    </w:p>
    <w:p w14:paraId="76377B33" w14:textId="77777777" w:rsidR="00D67E22" w:rsidRPr="00B831E7" w:rsidRDefault="00D67E22" w:rsidP="00D67E22">
      <w:pPr>
        <w:pStyle w:val="NormalNonumber"/>
        <w:ind w:left="2495"/>
      </w:pPr>
      <w:r w:rsidRPr="00B831E7">
        <w:rPr>
          <w:b/>
        </w:rPr>
        <w:t>Asia-Pacific States</w:t>
      </w:r>
      <w:r w:rsidRPr="00B831E7">
        <w:t>: Mr. Satyendra Kumar (India)</w:t>
      </w:r>
    </w:p>
    <w:p w14:paraId="497E4CFC" w14:textId="77777777" w:rsidR="00D67E22" w:rsidRPr="00B831E7" w:rsidRDefault="00D67E22" w:rsidP="00D67E22">
      <w:pPr>
        <w:pStyle w:val="NormalNonumber"/>
        <w:ind w:left="2495"/>
      </w:pPr>
      <w:r w:rsidRPr="00B831E7">
        <w:rPr>
          <w:b/>
        </w:rPr>
        <w:t>Eastern European States</w:t>
      </w:r>
      <w:r w:rsidRPr="00B831E7">
        <w:t xml:space="preserve">: Ms. Tatiana </w:t>
      </w:r>
      <w:proofErr w:type="spellStart"/>
      <w:r w:rsidRPr="00B831E7">
        <w:t>Tugui</w:t>
      </w:r>
      <w:proofErr w:type="spellEnd"/>
      <w:r w:rsidRPr="00B831E7">
        <w:t xml:space="preserve"> (Republic of Moldova)</w:t>
      </w:r>
    </w:p>
    <w:p w14:paraId="0D5C4A53" w14:textId="77777777" w:rsidR="00D67E22" w:rsidRPr="00B831E7" w:rsidRDefault="00D67E22" w:rsidP="00D67E22">
      <w:pPr>
        <w:pStyle w:val="NormalNonumber"/>
        <w:ind w:left="2495"/>
      </w:pPr>
      <w:r w:rsidRPr="00B831E7">
        <w:rPr>
          <w:b/>
        </w:rPr>
        <w:t>Latin American and Caribbean States</w:t>
      </w:r>
      <w:r w:rsidRPr="00B831E7">
        <w:t>: [</w:t>
      </w:r>
      <w:r w:rsidRPr="00B831E7">
        <w:rPr>
          <w:i/>
          <w:iCs/>
        </w:rPr>
        <w:t>N</w:t>
      </w:r>
      <w:r w:rsidRPr="00B831E7">
        <w:rPr>
          <w:i/>
        </w:rPr>
        <w:t>ame of the designated member to be communicated by the region after the meeting</w:t>
      </w:r>
      <w:r w:rsidRPr="00B831E7">
        <w:t>]</w:t>
      </w:r>
    </w:p>
    <w:p w14:paraId="289BFF69" w14:textId="77777777" w:rsidR="00D67E22" w:rsidRPr="00B831E7" w:rsidRDefault="00D67E22" w:rsidP="00D67E22">
      <w:pPr>
        <w:pStyle w:val="NormalNonumber"/>
        <w:ind w:left="2495"/>
      </w:pPr>
      <w:r w:rsidRPr="00B831E7">
        <w:rPr>
          <w:b/>
        </w:rPr>
        <w:t>Western European and other States</w:t>
      </w:r>
      <w:r w:rsidRPr="00B831E7">
        <w:t xml:space="preserve">: Ms. Ann De </w:t>
      </w:r>
      <w:proofErr w:type="spellStart"/>
      <w:r w:rsidRPr="00B831E7">
        <w:t>Jonghe</w:t>
      </w:r>
      <w:proofErr w:type="spellEnd"/>
      <w:r w:rsidRPr="00B831E7">
        <w:t xml:space="preserve"> (Belgium).</w:t>
      </w:r>
    </w:p>
    <w:p w14:paraId="03A22DE6" w14:textId="77777777" w:rsidR="00D67E22" w:rsidRPr="00B831E7" w:rsidRDefault="00D67E22" w:rsidP="00D67E22">
      <w:pPr>
        <w:pStyle w:val="CH1"/>
      </w:pPr>
      <w:r w:rsidRPr="00B831E7">
        <w:lastRenderedPageBreak/>
        <w:tab/>
      </w:r>
      <w:r w:rsidRPr="00B831E7">
        <w:tab/>
        <w:t xml:space="preserve">Annex to decision BC-15/17 </w:t>
      </w:r>
    </w:p>
    <w:p w14:paraId="7FC7805B" w14:textId="77777777" w:rsidR="00D67E22" w:rsidRPr="00B831E7" w:rsidRDefault="00D67E22" w:rsidP="00D67E22">
      <w:pPr>
        <w:pStyle w:val="CH1"/>
      </w:pPr>
      <w:r w:rsidRPr="00B831E7">
        <w:tab/>
      </w:r>
      <w:r w:rsidRPr="00B831E7">
        <w:tab/>
        <w:t xml:space="preserve">Work programme of the Committee Administering the Mechanism for Promoting Implementation and Compliance for the biennium 2022–2023 </w:t>
      </w:r>
    </w:p>
    <w:p w14:paraId="23941EEB" w14:textId="77777777" w:rsidR="00D67E22" w:rsidRPr="00B831E7" w:rsidRDefault="00D67E22" w:rsidP="00D67E22">
      <w:pPr>
        <w:pStyle w:val="CH1"/>
      </w:pPr>
      <w:r w:rsidRPr="00B831E7">
        <w:tab/>
        <w:t>I.</w:t>
      </w:r>
      <w:r w:rsidRPr="00B831E7">
        <w:tab/>
        <w:t xml:space="preserve">Review of general issues of compliance and implementation under the Convention </w:t>
      </w:r>
    </w:p>
    <w:tbl>
      <w:tblPr>
        <w:tblW w:w="8307" w:type="dxa"/>
        <w:jc w:val="right"/>
        <w:tblBorders>
          <w:top w:val="single" w:sz="4" w:space="0" w:color="auto"/>
          <w:bottom w:val="single" w:sz="4" w:space="0" w:color="auto"/>
          <w:insideH w:val="single" w:sz="4" w:space="0" w:color="auto"/>
        </w:tblBorders>
        <w:tblLayout w:type="fixed"/>
        <w:tblCellMar>
          <w:top w:w="113" w:type="dxa"/>
        </w:tblCellMar>
        <w:tblLook w:val="04A0" w:firstRow="1" w:lastRow="0" w:firstColumn="1" w:lastColumn="0" w:noHBand="0" w:noVBand="1"/>
      </w:tblPr>
      <w:tblGrid>
        <w:gridCol w:w="2171"/>
        <w:gridCol w:w="6136"/>
      </w:tblGrid>
      <w:tr w:rsidR="00D67E22" w:rsidRPr="00B831E7" w14:paraId="26D3820A" w14:textId="77777777" w:rsidTr="00AF1B49">
        <w:trPr>
          <w:trHeight w:val="57"/>
          <w:tblHeader/>
          <w:jc w:val="right"/>
        </w:trPr>
        <w:tc>
          <w:tcPr>
            <w:tcW w:w="2171" w:type="dxa"/>
            <w:tcBorders>
              <w:bottom w:val="single" w:sz="12" w:space="0" w:color="auto"/>
            </w:tcBorders>
            <w:shd w:val="clear" w:color="auto" w:fill="auto"/>
            <w:vAlign w:val="bottom"/>
            <w:hideMark/>
          </w:tcPr>
          <w:p w14:paraId="0472DA97" w14:textId="77777777" w:rsidR="00D67E22" w:rsidRPr="00B831E7" w:rsidRDefault="00D67E22" w:rsidP="00AF1B49">
            <w:pPr>
              <w:pStyle w:val="Normal-pool"/>
              <w:spacing w:before="40" w:after="40"/>
              <w:rPr>
                <w:i/>
                <w:iCs/>
                <w:sz w:val="18"/>
                <w:szCs w:val="18"/>
              </w:rPr>
            </w:pPr>
            <w:r w:rsidRPr="00B831E7">
              <w:rPr>
                <w:i/>
                <w:iCs/>
                <w:sz w:val="18"/>
                <w:szCs w:val="18"/>
              </w:rPr>
              <w:t xml:space="preserve">Objective </w:t>
            </w:r>
          </w:p>
        </w:tc>
        <w:tc>
          <w:tcPr>
            <w:tcW w:w="6136" w:type="dxa"/>
            <w:tcBorders>
              <w:bottom w:val="single" w:sz="12" w:space="0" w:color="auto"/>
            </w:tcBorders>
            <w:shd w:val="clear" w:color="auto" w:fill="auto"/>
            <w:vAlign w:val="bottom"/>
            <w:hideMark/>
          </w:tcPr>
          <w:p w14:paraId="453895B1" w14:textId="77777777" w:rsidR="00D67E22" w:rsidRPr="00B831E7" w:rsidRDefault="00D67E22" w:rsidP="00AF1B49">
            <w:pPr>
              <w:pStyle w:val="Normal-pool"/>
              <w:spacing w:before="40" w:after="40"/>
              <w:rPr>
                <w:i/>
                <w:iCs/>
                <w:sz w:val="18"/>
                <w:szCs w:val="18"/>
              </w:rPr>
            </w:pPr>
            <w:r w:rsidRPr="00B831E7">
              <w:rPr>
                <w:i/>
                <w:iCs/>
                <w:sz w:val="18"/>
                <w:szCs w:val="18"/>
              </w:rPr>
              <w:t xml:space="preserve">Activity </w:t>
            </w:r>
          </w:p>
        </w:tc>
      </w:tr>
      <w:tr w:rsidR="00D67E22" w:rsidRPr="00B831E7" w14:paraId="33E70183" w14:textId="77777777" w:rsidTr="00AF1B49">
        <w:trPr>
          <w:trHeight w:val="57"/>
          <w:jc w:val="right"/>
        </w:trPr>
        <w:tc>
          <w:tcPr>
            <w:tcW w:w="2171" w:type="dxa"/>
            <w:tcBorders>
              <w:top w:val="single" w:sz="12" w:space="0" w:color="auto"/>
            </w:tcBorders>
            <w:shd w:val="clear" w:color="auto" w:fill="auto"/>
            <w:hideMark/>
          </w:tcPr>
          <w:p w14:paraId="1B309233" w14:textId="77777777" w:rsidR="00D67E22" w:rsidRPr="00B831E7" w:rsidRDefault="00D67E22" w:rsidP="00D67E22">
            <w:pPr>
              <w:pStyle w:val="Normal-pool"/>
              <w:numPr>
                <w:ilvl w:val="0"/>
                <w:numId w:val="16"/>
              </w:numPr>
              <w:tabs>
                <w:tab w:val="clear" w:pos="2381"/>
                <w:tab w:val="clear" w:pos="2948"/>
                <w:tab w:val="clear" w:pos="3515"/>
                <w:tab w:val="clear" w:pos="4082"/>
                <w:tab w:val="left" w:pos="320"/>
              </w:tabs>
              <w:spacing w:before="40" w:after="40"/>
              <w:ind w:hanging="720"/>
              <w:rPr>
                <w:b/>
                <w:bCs/>
                <w:sz w:val="18"/>
                <w:szCs w:val="18"/>
              </w:rPr>
            </w:pPr>
            <w:r w:rsidRPr="00B831E7">
              <w:rPr>
                <w:b/>
                <w:bCs/>
                <w:sz w:val="18"/>
                <w:szCs w:val="18"/>
              </w:rPr>
              <w:t xml:space="preserve">National reporting </w:t>
            </w:r>
          </w:p>
          <w:p w14:paraId="31657CD4" w14:textId="77777777" w:rsidR="00D67E22" w:rsidRPr="00B831E7" w:rsidRDefault="00D67E22" w:rsidP="00AF1B49">
            <w:pPr>
              <w:pStyle w:val="Normal-pool"/>
              <w:spacing w:before="40" w:after="40"/>
              <w:ind w:left="320"/>
              <w:rPr>
                <w:rFonts w:eastAsia="Arial"/>
                <w:sz w:val="18"/>
                <w:szCs w:val="18"/>
                <w:lang w:eastAsia="ar-SA"/>
              </w:rPr>
            </w:pPr>
            <w:r w:rsidRPr="00B831E7">
              <w:rPr>
                <w:sz w:val="18"/>
                <w:szCs w:val="18"/>
              </w:rPr>
              <w:t>Improve timely and complete national reporting under paragraph 3 of Article 13 of the Convention</w:t>
            </w:r>
            <w:r w:rsidRPr="00B831E7">
              <w:rPr>
                <w:sz w:val="18"/>
                <w:szCs w:val="18"/>
                <w:lang w:eastAsia="ar-SA"/>
              </w:rPr>
              <w:t xml:space="preserve"> </w:t>
            </w:r>
          </w:p>
        </w:tc>
        <w:tc>
          <w:tcPr>
            <w:tcW w:w="6136" w:type="dxa"/>
            <w:tcBorders>
              <w:top w:val="single" w:sz="12" w:space="0" w:color="auto"/>
            </w:tcBorders>
            <w:shd w:val="clear" w:color="auto" w:fill="auto"/>
            <w:hideMark/>
          </w:tcPr>
          <w:p w14:paraId="1D72A3BD" w14:textId="77777777" w:rsidR="00D67E22" w:rsidRPr="00B831E7" w:rsidRDefault="00D67E22" w:rsidP="00AF1B49">
            <w:pPr>
              <w:pStyle w:val="Normal-pool"/>
              <w:tabs>
                <w:tab w:val="left" w:pos="415"/>
              </w:tabs>
              <w:spacing w:before="40" w:after="40"/>
              <w:ind w:left="415" w:hanging="415"/>
              <w:rPr>
                <w:sz w:val="18"/>
                <w:szCs w:val="18"/>
              </w:rPr>
            </w:pPr>
            <w:r w:rsidRPr="00B831E7">
              <w:rPr>
                <w:sz w:val="18"/>
                <w:szCs w:val="18"/>
              </w:rPr>
              <w:t>(a)</w:t>
            </w:r>
            <w:r w:rsidRPr="00B831E7">
              <w:rPr>
                <w:sz w:val="18"/>
                <w:szCs w:val="18"/>
              </w:rPr>
              <w:tab/>
              <w:t>Classify and, as appropriate, publish information on Parties’ compliance with their annual national reporting obligations for 2018 and 2019 based on the assumptions, criteria and categories adopted by the Conference of the Parties at its thirteenth meeting</w:t>
            </w:r>
            <w:r w:rsidRPr="00B831E7">
              <w:rPr>
                <w:sz w:val="18"/>
                <w:szCs w:val="18"/>
                <w:vertAlign w:val="superscript"/>
              </w:rPr>
              <w:footnoteReference w:id="8"/>
            </w:r>
            <w:r w:rsidRPr="00B831E7">
              <w:rPr>
                <w:sz w:val="18"/>
                <w:szCs w:val="18"/>
              </w:rPr>
              <w:t xml:space="preserve"> and the targets adopted by the Conference of the Parties at its fifteenth meeting;</w:t>
            </w:r>
            <w:r w:rsidRPr="00B831E7">
              <w:rPr>
                <w:sz w:val="18"/>
                <w:szCs w:val="18"/>
                <w:vertAlign w:val="superscript"/>
              </w:rPr>
              <w:footnoteReference w:id="9"/>
            </w:r>
          </w:p>
          <w:p w14:paraId="52005184" w14:textId="77777777" w:rsidR="00D67E22" w:rsidRPr="00B831E7" w:rsidRDefault="00D67E22" w:rsidP="00AF1B49">
            <w:pPr>
              <w:pStyle w:val="Normal-pool"/>
              <w:tabs>
                <w:tab w:val="left" w:pos="415"/>
              </w:tabs>
              <w:spacing w:before="40" w:after="40"/>
              <w:ind w:left="415" w:hanging="415"/>
              <w:rPr>
                <w:sz w:val="18"/>
                <w:szCs w:val="18"/>
              </w:rPr>
            </w:pPr>
            <w:r w:rsidRPr="00B831E7">
              <w:rPr>
                <w:sz w:val="18"/>
                <w:szCs w:val="18"/>
              </w:rPr>
              <w:t>(b)</w:t>
            </w:r>
            <w:r w:rsidRPr="00B831E7">
              <w:rPr>
                <w:sz w:val="18"/>
                <w:szCs w:val="18"/>
              </w:rPr>
              <w:tab/>
              <w:t xml:space="preserve">Develop recommendations on the revision of the targets referred to in paragraph 10 of decision BC-15/17 for the reports due for 2020 and subsequent </w:t>
            </w:r>
            <w:proofErr w:type="gramStart"/>
            <w:r w:rsidRPr="00B831E7">
              <w:rPr>
                <w:sz w:val="18"/>
                <w:szCs w:val="18"/>
              </w:rPr>
              <w:t>years;</w:t>
            </w:r>
            <w:proofErr w:type="gramEnd"/>
          </w:p>
          <w:p w14:paraId="71441635" w14:textId="77777777" w:rsidR="00D67E22" w:rsidRPr="00B831E7" w:rsidRDefault="00D67E22" w:rsidP="00AF1B49">
            <w:pPr>
              <w:pStyle w:val="Normal-pool"/>
              <w:tabs>
                <w:tab w:val="left" w:pos="415"/>
              </w:tabs>
              <w:spacing w:before="40" w:after="40"/>
              <w:ind w:left="414" w:hanging="414"/>
              <w:rPr>
                <w:sz w:val="18"/>
                <w:szCs w:val="18"/>
              </w:rPr>
            </w:pPr>
            <w:r w:rsidRPr="00B831E7">
              <w:rPr>
                <w:sz w:val="18"/>
                <w:szCs w:val="18"/>
              </w:rPr>
              <w:t>(c)</w:t>
            </w:r>
            <w:r w:rsidRPr="00B831E7">
              <w:rPr>
                <w:sz w:val="18"/>
                <w:szCs w:val="18"/>
              </w:rPr>
              <w:tab/>
              <w:t xml:space="preserve">In cooperation, as appropriate, with the Compliance Committee of the Rotterdam Convention on the Prior Informed Consent Procedure for Certain Hazardous Chemicals and Pesticides in International Trade, monitor United Nations Sustainable Development Cooperation Framework processes with a view to assessing the extent to which Parties with national reporting needs are including actions to address them in their Cooperation Framework, identifying best practices and, on the basis of the assessment, developing recommendations for the consideration of Conference of the Parties; </w:t>
            </w:r>
          </w:p>
          <w:p w14:paraId="5C14E69D" w14:textId="77777777" w:rsidR="00D67E22" w:rsidRPr="00B831E7" w:rsidRDefault="00D67E22" w:rsidP="00AF1B49">
            <w:pPr>
              <w:pStyle w:val="Normal-pool"/>
              <w:tabs>
                <w:tab w:val="left" w:pos="415"/>
              </w:tabs>
              <w:spacing w:before="40" w:after="40"/>
              <w:ind w:left="415" w:hanging="415"/>
              <w:rPr>
                <w:sz w:val="18"/>
                <w:szCs w:val="18"/>
              </w:rPr>
            </w:pPr>
            <w:r w:rsidRPr="00B831E7">
              <w:rPr>
                <w:sz w:val="18"/>
                <w:szCs w:val="18"/>
              </w:rPr>
              <w:t>(d)</w:t>
            </w:r>
            <w:r w:rsidRPr="00B831E7">
              <w:rPr>
                <w:sz w:val="18"/>
                <w:szCs w:val="18"/>
              </w:rPr>
              <w:tab/>
              <w:t>Establish a dialogue with the Basel Convention regional and coordinating centres, the Executive Board of the Special Programme to support institutional strengthening at the national level for implementation of the Basel, Rotterdam and Stockholm conventions, the Minamata Convention and the Strategic Approach to International Chemicals Management, the United Nations Environment Programme (UNEP) and other entities such as the Food and Agriculture Organization of the United Nations (FAO), the Global Environment Facility (GEF), the United Nations Development Programme (UNDP), the United Nations Industrial Development Organization (UNIDO), the World Bank and regional development banks on their activities aimed at supporting Parties in the implementation of their obligation to transmit national reports, and develop recommendations for consideration by the Conference of the Parties;</w:t>
            </w:r>
          </w:p>
          <w:p w14:paraId="28DFFC83" w14:textId="77777777" w:rsidR="00D67E22" w:rsidRPr="00B831E7" w:rsidRDefault="00D67E22" w:rsidP="00AF1B49">
            <w:pPr>
              <w:pStyle w:val="Normal-pool"/>
              <w:tabs>
                <w:tab w:val="left" w:pos="415"/>
              </w:tabs>
              <w:spacing w:before="40" w:after="40"/>
              <w:ind w:left="415" w:hanging="415"/>
              <w:rPr>
                <w:sz w:val="18"/>
                <w:szCs w:val="18"/>
                <w:lang w:eastAsia="en-CA"/>
              </w:rPr>
            </w:pPr>
            <w:r w:rsidRPr="00B831E7">
              <w:rPr>
                <w:sz w:val="18"/>
                <w:szCs w:val="18"/>
              </w:rPr>
              <w:t>(e)</w:t>
            </w:r>
            <w:r w:rsidRPr="00B831E7">
              <w:rPr>
                <w:sz w:val="18"/>
                <w:szCs w:val="18"/>
              </w:rPr>
              <w:tab/>
              <w:t>Consider elaborating and further assessing measures not included under paragraphs 20 (a) and (b) of the terms of reference of the Committee that may be required when a Party has not submitted its national report for two or more years since the report due in 2016, and to report to the Conference of the Parties at its sixteenth meeting.</w:t>
            </w:r>
          </w:p>
        </w:tc>
      </w:tr>
      <w:tr w:rsidR="00D67E22" w:rsidRPr="00B831E7" w14:paraId="0D34D0B0" w14:textId="77777777" w:rsidTr="00AF1B49">
        <w:trPr>
          <w:trHeight w:val="57"/>
          <w:jc w:val="right"/>
        </w:trPr>
        <w:tc>
          <w:tcPr>
            <w:tcW w:w="2171" w:type="dxa"/>
            <w:shd w:val="clear" w:color="auto" w:fill="auto"/>
            <w:hideMark/>
          </w:tcPr>
          <w:p w14:paraId="4031C2DA" w14:textId="77777777" w:rsidR="00D67E22" w:rsidRPr="00B831E7" w:rsidRDefault="00D67E22" w:rsidP="00AF1B49">
            <w:pPr>
              <w:pStyle w:val="Normal-pool"/>
              <w:tabs>
                <w:tab w:val="left" w:pos="283"/>
              </w:tabs>
              <w:spacing w:before="40" w:after="40"/>
              <w:rPr>
                <w:b/>
                <w:bCs/>
                <w:sz w:val="18"/>
                <w:szCs w:val="18"/>
              </w:rPr>
            </w:pPr>
            <w:r w:rsidRPr="00B831E7">
              <w:rPr>
                <w:b/>
                <w:bCs/>
                <w:sz w:val="18"/>
                <w:szCs w:val="18"/>
              </w:rPr>
              <w:t>2.</w:t>
            </w:r>
            <w:r w:rsidRPr="00B831E7">
              <w:rPr>
                <w:b/>
                <w:bCs/>
                <w:sz w:val="18"/>
                <w:szCs w:val="18"/>
              </w:rPr>
              <w:tab/>
              <w:t xml:space="preserve">Illegal traffic </w:t>
            </w:r>
          </w:p>
          <w:p w14:paraId="500CEAE1" w14:textId="77777777" w:rsidR="00D67E22" w:rsidRPr="00B831E7" w:rsidRDefault="00D67E22" w:rsidP="00AF1B49">
            <w:pPr>
              <w:pStyle w:val="Normal-pool"/>
              <w:spacing w:before="40" w:after="40"/>
              <w:ind w:left="320"/>
              <w:rPr>
                <w:rFonts w:eastAsia="Arial"/>
                <w:sz w:val="18"/>
                <w:szCs w:val="18"/>
                <w:lang w:eastAsia="ar-SA"/>
              </w:rPr>
            </w:pPr>
            <w:r w:rsidRPr="00B831E7">
              <w:rPr>
                <w:sz w:val="18"/>
                <w:szCs w:val="18"/>
              </w:rPr>
              <w:t>Prevent and combat illegal traffic</w:t>
            </w:r>
          </w:p>
        </w:tc>
        <w:tc>
          <w:tcPr>
            <w:tcW w:w="6136" w:type="dxa"/>
            <w:shd w:val="clear" w:color="auto" w:fill="auto"/>
            <w:hideMark/>
          </w:tcPr>
          <w:p w14:paraId="1A9B90BC" w14:textId="77777777" w:rsidR="00D67E22" w:rsidRPr="00B831E7" w:rsidRDefault="00D67E22" w:rsidP="00AF1B49">
            <w:pPr>
              <w:pStyle w:val="Normal-pool"/>
              <w:spacing w:before="40" w:after="40"/>
              <w:rPr>
                <w:b/>
                <w:bCs/>
                <w:sz w:val="18"/>
                <w:szCs w:val="18"/>
              </w:rPr>
            </w:pPr>
            <w:r w:rsidRPr="00B831E7">
              <w:rPr>
                <w:b/>
                <w:bCs/>
                <w:sz w:val="18"/>
                <w:szCs w:val="18"/>
              </w:rPr>
              <w:t>Scoping exercise:</w:t>
            </w:r>
          </w:p>
          <w:p w14:paraId="5D0C2B5A" w14:textId="77777777" w:rsidR="00D67E22" w:rsidRPr="00B831E7" w:rsidRDefault="00D67E22" w:rsidP="00AF1B49">
            <w:pPr>
              <w:pStyle w:val="Normal-pool"/>
              <w:tabs>
                <w:tab w:val="left" w:pos="415"/>
              </w:tabs>
              <w:spacing w:before="40" w:after="40"/>
              <w:ind w:left="414" w:hanging="414"/>
              <w:rPr>
                <w:sz w:val="18"/>
                <w:szCs w:val="18"/>
              </w:rPr>
            </w:pPr>
            <w:r w:rsidRPr="00B831E7">
              <w:rPr>
                <w:sz w:val="18"/>
                <w:szCs w:val="18"/>
              </w:rPr>
              <w:t>(a)</w:t>
            </w:r>
            <w:r w:rsidRPr="00B831E7">
              <w:rPr>
                <w:sz w:val="18"/>
                <w:szCs w:val="18"/>
              </w:rPr>
              <w:tab/>
              <w:t>Review the information provided in table 9 of the national reports transmitted for the years 2018 and 2019 with a view to estimating: (</w:t>
            </w:r>
            <w:proofErr w:type="spellStart"/>
            <w:r w:rsidRPr="00B831E7">
              <w:rPr>
                <w:sz w:val="18"/>
                <w:szCs w:val="18"/>
              </w:rPr>
              <w:t>i</w:t>
            </w:r>
            <w:proofErr w:type="spellEnd"/>
            <w:r w:rsidRPr="00B831E7">
              <w:rPr>
                <w:sz w:val="18"/>
                <w:szCs w:val="18"/>
              </w:rPr>
              <w:t xml:space="preserve">) how many cases of illegal traffic there were; (ii) with respect to which wastes; (iii) in which regions; and (iv) how they were resolved; and make recommendations based on the outcome of the </w:t>
            </w:r>
            <w:proofErr w:type="gramStart"/>
            <w:r w:rsidRPr="00B831E7">
              <w:rPr>
                <w:sz w:val="18"/>
                <w:szCs w:val="18"/>
              </w:rPr>
              <w:t>review;</w:t>
            </w:r>
            <w:proofErr w:type="gramEnd"/>
            <w:r w:rsidRPr="00B831E7">
              <w:rPr>
                <w:sz w:val="18"/>
                <w:szCs w:val="18"/>
              </w:rPr>
              <w:t xml:space="preserve"> </w:t>
            </w:r>
          </w:p>
          <w:p w14:paraId="36E7F83C" w14:textId="77777777" w:rsidR="00D67E22" w:rsidRPr="00B831E7" w:rsidRDefault="00D67E22" w:rsidP="00AF1B49">
            <w:pPr>
              <w:pStyle w:val="Normal-pool"/>
              <w:tabs>
                <w:tab w:val="left" w:pos="415"/>
              </w:tabs>
              <w:spacing w:before="40" w:after="40"/>
              <w:ind w:left="414" w:hanging="414"/>
              <w:rPr>
                <w:sz w:val="18"/>
                <w:szCs w:val="18"/>
              </w:rPr>
            </w:pPr>
            <w:r w:rsidRPr="00B831E7">
              <w:rPr>
                <w:sz w:val="18"/>
                <w:szCs w:val="18"/>
              </w:rPr>
              <w:lastRenderedPageBreak/>
              <w:t>(b)</w:t>
            </w:r>
            <w:r w:rsidRPr="00B831E7">
              <w:rPr>
                <w:sz w:val="18"/>
                <w:szCs w:val="18"/>
              </w:rPr>
              <w:tab/>
              <w:t xml:space="preserve">Review table 9 of the national reporting format to ascertain whether it would benefit from adjustments to facilitate access </w:t>
            </w:r>
            <w:proofErr w:type="gramStart"/>
            <w:r w:rsidRPr="00B831E7">
              <w:rPr>
                <w:sz w:val="18"/>
                <w:szCs w:val="18"/>
              </w:rPr>
              <w:t>to</w:t>
            </w:r>
            <w:proofErr w:type="gramEnd"/>
            <w:r w:rsidRPr="00B831E7">
              <w:rPr>
                <w:sz w:val="18"/>
                <w:szCs w:val="18"/>
              </w:rPr>
              <w:t xml:space="preserve"> and analysis of the information transmitted by Parties about cases of illegal traffic; </w:t>
            </w:r>
          </w:p>
          <w:p w14:paraId="7C2AD5C8" w14:textId="77777777" w:rsidR="00D67E22" w:rsidRPr="00B831E7" w:rsidRDefault="00D67E22" w:rsidP="00AF1B49">
            <w:pPr>
              <w:pStyle w:val="Normal-pool"/>
              <w:tabs>
                <w:tab w:val="left" w:pos="415"/>
              </w:tabs>
              <w:spacing w:before="40" w:after="40"/>
              <w:ind w:left="414" w:hanging="414"/>
              <w:rPr>
                <w:sz w:val="18"/>
                <w:szCs w:val="18"/>
              </w:rPr>
            </w:pPr>
            <w:r w:rsidRPr="00B831E7">
              <w:rPr>
                <w:sz w:val="18"/>
                <w:szCs w:val="18"/>
              </w:rPr>
              <w:t>(c)</w:t>
            </w:r>
            <w:r w:rsidRPr="00B831E7">
              <w:rPr>
                <w:sz w:val="18"/>
                <w:szCs w:val="18"/>
              </w:rPr>
              <w:tab/>
              <w:t xml:space="preserve">Identify discrepancies in the information reported by Parties on cases that could constitute illegal traffic and make recommendations based on the outcome of the </w:t>
            </w:r>
            <w:proofErr w:type="gramStart"/>
            <w:r w:rsidRPr="00B831E7">
              <w:rPr>
                <w:sz w:val="18"/>
                <w:szCs w:val="18"/>
              </w:rPr>
              <w:t>review;</w:t>
            </w:r>
            <w:proofErr w:type="gramEnd"/>
          </w:p>
          <w:p w14:paraId="12585E82" w14:textId="77777777" w:rsidR="00D67E22" w:rsidRPr="00B831E7" w:rsidRDefault="00D67E22" w:rsidP="00AF1B49">
            <w:pPr>
              <w:pStyle w:val="Normal-pool"/>
              <w:tabs>
                <w:tab w:val="left" w:pos="415"/>
              </w:tabs>
              <w:spacing w:before="40" w:after="40"/>
              <w:ind w:left="414" w:hanging="414"/>
              <w:rPr>
                <w:sz w:val="18"/>
                <w:szCs w:val="18"/>
              </w:rPr>
            </w:pPr>
            <w:r w:rsidRPr="00B831E7">
              <w:rPr>
                <w:sz w:val="18"/>
                <w:szCs w:val="18"/>
              </w:rPr>
              <w:t>(d)</w:t>
            </w:r>
            <w:r w:rsidRPr="00B831E7">
              <w:rPr>
                <w:sz w:val="18"/>
                <w:szCs w:val="18"/>
              </w:rPr>
              <w:tab/>
              <w:t>Review the form for reporting confirmed cases of illegal traffic to ascertain whether it would benefit from adjustments and make recommendations based on the outcome of the review;</w:t>
            </w:r>
            <w:r w:rsidRPr="00B831E7">
              <w:rPr>
                <w:sz w:val="18"/>
                <w:szCs w:val="18"/>
                <w:vertAlign w:val="superscript"/>
              </w:rPr>
              <w:footnoteReference w:id="10"/>
            </w:r>
          </w:p>
          <w:p w14:paraId="632E56A6" w14:textId="77777777" w:rsidR="00D67E22" w:rsidRPr="00B831E7" w:rsidRDefault="00D67E22" w:rsidP="00AF1B49">
            <w:pPr>
              <w:pStyle w:val="Normal-pool"/>
              <w:tabs>
                <w:tab w:val="left" w:pos="415"/>
              </w:tabs>
              <w:spacing w:before="40" w:after="40"/>
              <w:ind w:left="414" w:hanging="414"/>
              <w:rPr>
                <w:sz w:val="18"/>
                <w:szCs w:val="18"/>
              </w:rPr>
            </w:pPr>
            <w:r w:rsidRPr="00B831E7">
              <w:rPr>
                <w:sz w:val="18"/>
                <w:szCs w:val="18"/>
              </w:rPr>
              <w:t>(e)</w:t>
            </w:r>
            <w:r w:rsidRPr="00B831E7">
              <w:rPr>
                <w:sz w:val="18"/>
                <w:szCs w:val="18"/>
              </w:rPr>
              <w:tab/>
              <w:t>Consider whether a review of the information provided in tables 4 and 5 of the national reports for the years 2018 and 2019 could help identify discrepancies in the information reported by Parties that may constitute cases of illegal traffic and make recommendations accordingly.</w:t>
            </w:r>
          </w:p>
          <w:p w14:paraId="03BF0BB4" w14:textId="77777777" w:rsidR="00D67E22" w:rsidRPr="00B831E7" w:rsidRDefault="00D67E22" w:rsidP="00AF1B49">
            <w:pPr>
              <w:pStyle w:val="Normal-pool"/>
              <w:spacing w:before="40" w:after="40"/>
              <w:rPr>
                <w:b/>
                <w:bCs/>
                <w:sz w:val="18"/>
                <w:szCs w:val="18"/>
              </w:rPr>
            </w:pPr>
            <w:r w:rsidRPr="00B831E7">
              <w:rPr>
                <w:b/>
                <w:bCs/>
                <w:sz w:val="18"/>
                <w:szCs w:val="18"/>
              </w:rPr>
              <w:t>National coordination mechanisms</w:t>
            </w:r>
          </w:p>
          <w:p w14:paraId="5330B35C" w14:textId="77777777" w:rsidR="00D67E22" w:rsidRPr="00B831E7" w:rsidRDefault="00D67E22" w:rsidP="00AF1B49">
            <w:pPr>
              <w:pStyle w:val="Normal-pool"/>
              <w:tabs>
                <w:tab w:val="left" w:pos="415"/>
              </w:tabs>
              <w:spacing w:before="40" w:after="40"/>
              <w:ind w:left="414" w:hanging="414"/>
              <w:rPr>
                <w:sz w:val="18"/>
                <w:szCs w:val="18"/>
              </w:rPr>
            </w:pPr>
            <w:r w:rsidRPr="00B831E7">
              <w:rPr>
                <w:sz w:val="18"/>
                <w:szCs w:val="18"/>
              </w:rPr>
              <w:t>(a)</w:t>
            </w:r>
            <w:r w:rsidRPr="00B831E7">
              <w:rPr>
                <w:sz w:val="18"/>
                <w:szCs w:val="18"/>
              </w:rPr>
              <w:tab/>
              <w:t>Monitor activities undertaken by the Secretariat, the Basel Convention regional and coordinating centres, the European Union Network for the Implementation and Enforcement of Environmental Law (IMPEL), the International Criminal Police Organization (INTERPOL), UNEP, the United Nations Office on Drugs and Crime (UNODC), the World Customs Organization (WCO) and other entities that are aimed at assisting Parties in enhancing coordination between their competent authorities and enforcement entities and make recommendations based on the outcome of the monitoring;</w:t>
            </w:r>
          </w:p>
          <w:p w14:paraId="0E5DA864" w14:textId="77777777" w:rsidR="00D67E22" w:rsidRPr="00B831E7" w:rsidRDefault="00D67E22" w:rsidP="00AF1B49">
            <w:pPr>
              <w:pStyle w:val="Normal-pool"/>
              <w:tabs>
                <w:tab w:val="left" w:pos="415"/>
              </w:tabs>
              <w:spacing w:before="40" w:after="40"/>
              <w:ind w:left="414" w:hanging="414"/>
              <w:rPr>
                <w:sz w:val="18"/>
                <w:szCs w:val="18"/>
              </w:rPr>
            </w:pPr>
            <w:r w:rsidRPr="00B831E7">
              <w:rPr>
                <w:sz w:val="18"/>
                <w:szCs w:val="18"/>
              </w:rPr>
              <w:t>(b)</w:t>
            </w:r>
            <w:r w:rsidRPr="00B831E7">
              <w:rPr>
                <w:sz w:val="18"/>
                <w:szCs w:val="18"/>
              </w:rPr>
              <w:tab/>
              <w:t xml:space="preserve">Monitor activities undertaken by Parties to enhance coordination and increase the flow of information between their competent authorities and enforcement entities, and between themselves and the </w:t>
            </w:r>
            <w:proofErr w:type="gramStart"/>
            <w:r w:rsidRPr="00B831E7">
              <w:rPr>
                <w:sz w:val="18"/>
                <w:szCs w:val="18"/>
              </w:rPr>
              <w:t>Secretariat;</w:t>
            </w:r>
            <w:proofErr w:type="gramEnd"/>
          </w:p>
          <w:p w14:paraId="3A11C13F" w14:textId="77777777" w:rsidR="00D67E22" w:rsidRPr="00B831E7" w:rsidRDefault="00D67E22" w:rsidP="00AF1B49">
            <w:pPr>
              <w:pStyle w:val="Normal-pool"/>
              <w:tabs>
                <w:tab w:val="left" w:pos="415"/>
              </w:tabs>
              <w:spacing w:before="40" w:after="40"/>
              <w:ind w:left="415" w:hanging="415"/>
              <w:rPr>
                <w:sz w:val="18"/>
                <w:szCs w:val="18"/>
              </w:rPr>
            </w:pPr>
            <w:r w:rsidRPr="00B831E7">
              <w:rPr>
                <w:sz w:val="18"/>
                <w:szCs w:val="18"/>
              </w:rPr>
              <w:t>(c)</w:t>
            </w:r>
            <w:r w:rsidRPr="00B831E7">
              <w:rPr>
                <w:sz w:val="18"/>
                <w:szCs w:val="18"/>
              </w:rPr>
              <w:tab/>
              <w:t>Develop recommendations to improve implementation of and compliance with Article 9 of the Convention.</w:t>
            </w:r>
          </w:p>
          <w:p w14:paraId="562F5B36" w14:textId="77777777" w:rsidR="00D67E22" w:rsidRPr="00B831E7" w:rsidRDefault="00D67E22" w:rsidP="00AF1B49">
            <w:pPr>
              <w:pStyle w:val="Normal-pool"/>
              <w:spacing w:before="40" w:after="40"/>
              <w:rPr>
                <w:b/>
                <w:bCs/>
                <w:sz w:val="18"/>
                <w:szCs w:val="18"/>
              </w:rPr>
            </w:pPr>
            <w:r w:rsidRPr="00B831E7">
              <w:rPr>
                <w:b/>
                <w:bCs/>
                <w:sz w:val="18"/>
                <w:szCs w:val="18"/>
              </w:rPr>
              <w:t>Responses to question 1 (c) of the reporting format</w:t>
            </w:r>
          </w:p>
          <w:p w14:paraId="71CB11D6" w14:textId="77777777" w:rsidR="00D67E22" w:rsidRPr="00B831E7" w:rsidRDefault="00D67E22" w:rsidP="00AF1B49">
            <w:pPr>
              <w:pStyle w:val="Normal-pool"/>
              <w:tabs>
                <w:tab w:val="left" w:pos="415"/>
              </w:tabs>
              <w:spacing w:before="40" w:after="40"/>
              <w:ind w:left="415" w:hanging="415"/>
              <w:rPr>
                <w:sz w:val="18"/>
                <w:szCs w:val="18"/>
              </w:rPr>
            </w:pPr>
            <w:r w:rsidRPr="00B831E7">
              <w:rPr>
                <w:sz w:val="18"/>
                <w:szCs w:val="18"/>
              </w:rPr>
              <w:t>(a)</w:t>
            </w:r>
            <w:r w:rsidRPr="00B831E7">
              <w:rPr>
                <w:sz w:val="18"/>
                <w:szCs w:val="18"/>
              </w:rPr>
              <w:tab/>
              <w:t>Review the texts of national legislation and other measures adopted by Parties to implement and enforce the Convention and their responses to question 1 (c) of the national reports for 2019 and, using the legislator’s checklist,</w:t>
            </w:r>
            <w:r w:rsidRPr="00B831E7">
              <w:rPr>
                <w:sz w:val="18"/>
                <w:szCs w:val="18"/>
                <w:vertAlign w:val="superscript"/>
              </w:rPr>
              <w:footnoteReference w:id="11"/>
            </w:r>
            <w:r w:rsidRPr="00B831E7">
              <w:rPr>
                <w:sz w:val="18"/>
                <w:szCs w:val="18"/>
              </w:rPr>
              <w:t xml:space="preserve"> classify Parties’ compliance performance in relation to the obligations set out in Article 9 of the </w:t>
            </w:r>
            <w:proofErr w:type="gramStart"/>
            <w:r w:rsidRPr="00B831E7">
              <w:rPr>
                <w:sz w:val="18"/>
                <w:szCs w:val="18"/>
              </w:rPr>
              <w:t>Convention;</w:t>
            </w:r>
            <w:proofErr w:type="gramEnd"/>
          </w:p>
          <w:p w14:paraId="16783C2D" w14:textId="77777777" w:rsidR="00D67E22" w:rsidRPr="00B831E7" w:rsidRDefault="00D67E22" w:rsidP="00AF1B49">
            <w:pPr>
              <w:pStyle w:val="Normal-pool"/>
              <w:tabs>
                <w:tab w:val="left" w:pos="415"/>
              </w:tabs>
              <w:spacing w:before="40" w:after="40"/>
              <w:ind w:left="415" w:hanging="415"/>
              <w:rPr>
                <w:sz w:val="18"/>
                <w:szCs w:val="18"/>
              </w:rPr>
            </w:pPr>
            <w:r w:rsidRPr="00B831E7">
              <w:rPr>
                <w:sz w:val="18"/>
                <w:szCs w:val="18"/>
              </w:rPr>
              <w:t>(b)</w:t>
            </w:r>
            <w:r w:rsidRPr="00B831E7">
              <w:rPr>
                <w:sz w:val="18"/>
                <w:szCs w:val="18"/>
              </w:rPr>
              <w:tab/>
              <w:t>Identify best practices and case studies relating to the enforcement of legislation and punishment of illegal traffic and consider how to assess whether Parties’ current efforts are on target to achieve best practice.</w:t>
            </w:r>
          </w:p>
          <w:p w14:paraId="1DA94086" w14:textId="77777777" w:rsidR="00D67E22" w:rsidRPr="00B831E7" w:rsidRDefault="00D67E22" w:rsidP="00AF1B49">
            <w:pPr>
              <w:pStyle w:val="Normal-pool"/>
              <w:spacing w:before="40" w:after="40"/>
              <w:rPr>
                <w:b/>
                <w:bCs/>
                <w:sz w:val="18"/>
                <w:szCs w:val="18"/>
              </w:rPr>
            </w:pPr>
            <w:r w:rsidRPr="00B831E7">
              <w:rPr>
                <w:b/>
                <w:bCs/>
                <w:sz w:val="18"/>
                <w:szCs w:val="18"/>
              </w:rPr>
              <w:t>Dialogue</w:t>
            </w:r>
          </w:p>
          <w:p w14:paraId="011D14AC" w14:textId="77777777" w:rsidR="00D67E22" w:rsidRPr="00B831E7" w:rsidRDefault="00D67E22" w:rsidP="00AF1B49">
            <w:pPr>
              <w:pStyle w:val="Normal-pool"/>
              <w:spacing w:before="40" w:after="40"/>
              <w:rPr>
                <w:sz w:val="18"/>
                <w:szCs w:val="18"/>
              </w:rPr>
            </w:pPr>
            <w:r w:rsidRPr="00B831E7">
              <w:rPr>
                <w:sz w:val="18"/>
                <w:szCs w:val="18"/>
              </w:rPr>
              <w:t xml:space="preserve">Establish a dialogue and coordinate with the Basel Convention regional and coordinating centres, relevant international </w:t>
            </w:r>
            <w:proofErr w:type="gramStart"/>
            <w:r w:rsidRPr="00B831E7">
              <w:rPr>
                <w:sz w:val="18"/>
                <w:szCs w:val="18"/>
              </w:rPr>
              <w:t>organizations</w:t>
            </w:r>
            <w:proofErr w:type="gramEnd"/>
            <w:r w:rsidRPr="00B831E7">
              <w:rPr>
                <w:sz w:val="18"/>
                <w:szCs w:val="18"/>
              </w:rPr>
              <w:t xml:space="preserve"> and compliance bodies of other multilateral environmental agreements on their activities aimed at supporting Parties in preventing and combating illegal traffic and develop recommendations for consideration by the Conference of the Parties.</w:t>
            </w:r>
          </w:p>
          <w:p w14:paraId="53AEC29B" w14:textId="77777777" w:rsidR="00D67E22" w:rsidRPr="00B831E7" w:rsidRDefault="00D67E22" w:rsidP="00AF1B49">
            <w:pPr>
              <w:pStyle w:val="Normal-pool"/>
              <w:keepNext/>
              <w:keepLines/>
              <w:spacing w:before="40" w:after="40"/>
              <w:rPr>
                <w:b/>
                <w:bCs/>
                <w:sz w:val="18"/>
                <w:szCs w:val="18"/>
              </w:rPr>
            </w:pPr>
            <w:r w:rsidRPr="00B831E7">
              <w:rPr>
                <w:b/>
                <w:bCs/>
                <w:sz w:val="18"/>
                <w:szCs w:val="18"/>
              </w:rPr>
              <w:t>Cooperative arrangements including the Environmental Network for Optimizing Regulatory Compliance on Illegal Traffic (ENFORCE)</w:t>
            </w:r>
          </w:p>
          <w:p w14:paraId="726C9005" w14:textId="77777777" w:rsidR="00D67E22" w:rsidRPr="00B831E7" w:rsidRDefault="00D67E22" w:rsidP="00AF1B49">
            <w:pPr>
              <w:pStyle w:val="Normal-pool"/>
              <w:keepNext/>
              <w:keepLines/>
              <w:spacing w:before="40" w:after="40"/>
              <w:rPr>
                <w:sz w:val="18"/>
                <w:szCs w:val="18"/>
              </w:rPr>
            </w:pPr>
            <w:r w:rsidRPr="00B831E7">
              <w:rPr>
                <w:sz w:val="18"/>
                <w:szCs w:val="18"/>
              </w:rPr>
              <w:t>Maintain under review the activities of ENFORCE, particularly any developments that stem from any of the recommendations made by the Committee to the Conference of the Parties, subject to their adoption, and consider, at the next Committee meeting whether the arrangements pertaining to ENFORCE need to be strengthened further.</w:t>
            </w:r>
          </w:p>
          <w:p w14:paraId="49DE01B5" w14:textId="77777777" w:rsidR="00D67E22" w:rsidRPr="00B831E7" w:rsidRDefault="00D67E22" w:rsidP="00AF1B49">
            <w:pPr>
              <w:pStyle w:val="Normal-pool"/>
              <w:spacing w:before="40" w:after="40"/>
              <w:rPr>
                <w:b/>
                <w:bCs/>
                <w:sz w:val="18"/>
                <w:szCs w:val="18"/>
              </w:rPr>
            </w:pPr>
            <w:r w:rsidRPr="00B831E7">
              <w:rPr>
                <w:b/>
                <w:bCs/>
                <w:sz w:val="18"/>
                <w:szCs w:val="18"/>
              </w:rPr>
              <w:t>Dissemination of guidance and tools</w:t>
            </w:r>
          </w:p>
          <w:p w14:paraId="64F45A30" w14:textId="77777777" w:rsidR="00D67E22" w:rsidRPr="00B831E7" w:rsidRDefault="00D67E22" w:rsidP="00AF1B49">
            <w:pPr>
              <w:pStyle w:val="Normal-pool"/>
              <w:spacing w:before="40" w:after="40"/>
              <w:rPr>
                <w:rFonts w:eastAsia="Arial"/>
                <w:sz w:val="18"/>
                <w:szCs w:val="18"/>
                <w:lang w:eastAsia="ar-SA"/>
              </w:rPr>
            </w:pPr>
            <w:r w:rsidRPr="00B831E7">
              <w:rPr>
                <w:sz w:val="18"/>
                <w:szCs w:val="18"/>
              </w:rPr>
              <w:lastRenderedPageBreak/>
              <w:t>Monitor activities undertaken by Parties, the Secretariat, the Basel Convention regional and coordinating centres, IMPEL, INTERPOL, UNEP, UNODC, WCO and other entities aimed at disseminating guidance and tools developed under the Convention that aim to prevent and combat illegal traffic.</w:t>
            </w:r>
          </w:p>
        </w:tc>
      </w:tr>
      <w:tr w:rsidR="00D67E22" w:rsidRPr="00B831E7" w14:paraId="56038918" w14:textId="77777777" w:rsidTr="00AF1B49">
        <w:trPr>
          <w:trHeight w:val="57"/>
          <w:jc w:val="right"/>
        </w:trPr>
        <w:tc>
          <w:tcPr>
            <w:tcW w:w="2171" w:type="dxa"/>
            <w:shd w:val="clear" w:color="auto" w:fill="auto"/>
            <w:hideMark/>
          </w:tcPr>
          <w:p w14:paraId="3E369CF8" w14:textId="77777777" w:rsidR="00D67E22" w:rsidRPr="00B831E7" w:rsidRDefault="00D67E22" w:rsidP="00AF1B49">
            <w:pPr>
              <w:pStyle w:val="Normal-pool"/>
              <w:tabs>
                <w:tab w:val="left" w:pos="320"/>
              </w:tabs>
              <w:spacing w:before="40" w:after="40"/>
              <w:rPr>
                <w:b/>
                <w:bCs/>
                <w:sz w:val="18"/>
                <w:szCs w:val="18"/>
              </w:rPr>
            </w:pPr>
            <w:r w:rsidRPr="00B831E7">
              <w:rPr>
                <w:b/>
                <w:bCs/>
                <w:sz w:val="18"/>
                <w:szCs w:val="18"/>
              </w:rPr>
              <w:lastRenderedPageBreak/>
              <w:t>3.</w:t>
            </w:r>
            <w:r w:rsidRPr="00B831E7">
              <w:rPr>
                <w:b/>
                <w:bCs/>
                <w:sz w:val="18"/>
                <w:szCs w:val="18"/>
              </w:rPr>
              <w:tab/>
              <w:t xml:space="preserve">National legislation </w:t>
            </w:r>
          </w:p>
          <w:p w14:paraId="5030B64D" w14:textId="77777777" w:rsidR="00D67E22" w:rsidRPr="00B831E7" w:rsidRDefault="00D67E22" w:rsidP="00AF1B49">
            <w:pPr>
              <w:pStyle w:val="Normal-pool"/>
              <w:spacing w:before="40" w:after="40"/>
              <w:ind w:left="320"/>
              <w:rPr>
                <w:rFonts w:eastAsia="Arial"/>
                <w:sz w:val="18"/>
                <w:szCs w:val="18"/>
                <w:lang w:eastAsia="ar-SA"/>
              </w:rPr>
            </w:pPr>
            <w:r w:rsidRPr="00B831E7">
              <w:rPr>
                <w:sz w:val="18"/>
                <w:szCs w:val="18"/>
              </w:rPr>
              <w:t>Improve implementation of and compliance with paragraph 4 of Article 4 and paragraph 5 of Article 9 of the Convention</w:t>
            </w:r>
            <w:r w:rsidRPr="00B831E7">
              <w:rPr>
                <w:sz w:val="18"/>
                <w:szCs w:val="18"/>
                <w:lang w:eastAsia="ar-SA"/>
              </w:rPr>
              <w:t xml:space="preserve"> </w:t>
            </w:r>
          </w:p>
        </w:tc>
        <w:tc>
          <w:tcPr>
            <w:tcW w:w="6136" w:type="dxa"/>
            <w:shd w:val="clear" w:color="auto" w:fill="auto"/>
            <w:hideMark/>
          </w:tcPr>
          <w:p w14:paraId="77CE8A80" w14:textId="77777777" w:rsidR="00D67E22" w:rsidRPr="00B831E7" w:rsidRDefault="00D67E22" w:rsidP="00D67E22">
            <w:pPr>
              <w:pStyle w:val="Normal-pool"/>
              <w:numPr>
                <w:ilvl w:val="0"/>
                <w:numId w:val="17"/>
              </w:numPr>
              <w:tabs>
                <w:tab w:val="clear" w:pos="2381"/>
                <w:tab w:val="clear" w:pos="2948"/>
                <w:tab w:val="clear" w:pos="3515"/>
                <w:tab w:val="clear" w:pos="4082"/>
                <w:tab w:val="left" w:pos="415"/>
              </w:tabs>
              <w:spacing w:before="40" w:after="40"/>
              <w:ind w:left="357" w:hanging="357"/>
              <w:rPr>
                <w:sz w:val="18"/>
                <w:szCs w:val="18"/>
              </w:rPr>
            </w:pPr>
            <w:r w:rsidRPr="00B831E7">
              <w:rPr>
                <w:sz w:val="18"/>
                <w:szCs w:val="18"/>
              </w:rPr>
              <w:t xml:space="preserve">Invite Parties to undertake a self-review of their legislation for implementing the Convention, using the legislator’s checklist, and to consider general </w:t>
            </w:r>
            <w:proofErr w:type="gramStart"/>
            <w:r w:rsidRPr="00B831E7">
              <w:rPr>
                <w:sz w:val="18"/>
                <w:szCs w:val="18"/>
              </w:rPr>
              <w:t>trends;</w:t>
            </w:r>
            <w:proofErr w:type="gramEnd"/>
          </w:p>
          <w:p w14:paraId="49A44B3B" w14:textId="77777777" w:rsidR="00D67E22" w:rsidRPr="00B831E7" w:rsidRDefault="00D67E22" w:rsidP="00D67E22">
            <w:pPr>
              <w:pStyle w:val="Normal-pool"/>
              <w:numPr>
                <w:ilvl w:val="0"/>
                <w:numId w:val="17"/>
              </w:numPr>
              <w:tabs>
                <w:tab w:val="clear" w:pos="2381"/>
                <w:tab w:val="clear" w:pos="2948"/>
                <w:tab w:val="clear" w:pos="3515"/>
                <w:tab w:val="clear" w:pos="4082"/>
                <w:tab w:val="left" w:pos="415"/>
              </w:tabs>
              <w:spacing w:before="40" w:after="40"/>
              <w:ind w:left="357" w:hanging="357"/>
              <w:rPr>
                <w:sz w:val="18"/>
                <w:szCs w:val="18"/>
              </w:rPr>
            </w:pPr>
            <w:r w:rsidRPr="00B831E7">
              <w:rPr>
                <w:sz w:val="18"/>
                <w:szCs w:val="18"/>
              </w:rPr>
              <w:t xml:space="preserve">Monitor progress achieved by Parties in transmitting to the Secretariat texts of national legislation and other measures adopted by them to implement and enforce the </w:t>
            </w:r>
            <w:proofErr w:type="gramStart"/>
            <w:r w:rsidRPr="00B831E7">
              <w:rPr>
                <w:sz w:val="18"/>
                <w:szCs w:val="18"/>
              </w:rPr>
              <w:t>Convention;</w:t>
            </w:r>
            <w:proofErr w:type="gramEnd"/>
            <w:r w:rsidRPr="00B831E7">
              <w:rPr>
                <w:sz w:val="18"/>
                <w:szCs w:val="18"/>
              </w:rPr>
              <w:t xml:space="preserve"> </w:t>
            </w:r>
          </w:p>
          <w:p w14:paraId="3EE704A7" w14:textId="77777777" w:rsidR="00D67E22" w:rsidRPr="00B831E7" w:rsidRDefault="00D67E22" w:rsidP="00D67E22">
            <w:pPr>
              <w:pStyle w:val="Normal-pool"/>
              <w:numPr>
                <w:ilvl w:val="0"/>
                <w:numId w:val="17"/>
              </w:numPr>
              <w:tabs>
                <w:tab w:val="clear" w:pos="2381"/>
                <w:tab w:val="clear" w:pos="2948"/>
                <w:tab w:val="clear" w:pos="3515"/>
                <w:tab w:val="clear" w:pos="4082"/>
                <w:tab w:val="left" w:pos="415"/>
              </w:tabs>
              <w:spacing w:before="240" w:after="40"/>
              <w:ind w:left="357" w:hanging="357"/>
              <w:rPr>
                <w:sz w:val="18"/>
                <w:szCs w:val="18"/>
              </w:rPr>
            </w:pPr>
            <w:r w:rsidRPr="00B831E7">
              <w:rPr>
                <w:sz w:val="18"/>
                <w:szCs w:val="18"/>
              </w:rPr>
              <w:t xml:space="preserve">Monitor requests from Parties received by the Secretariat for information aimed at facilitating the development and review of national legal frameworks and for the technical assistance activities of the Secretariat aimed at promoting the implementation of paragraph 4 of Article 4 and paragraph 5 of Article 9 of the </w:t>
            </w:r>
            <w:proofErr w:type="gramStart"/>
            <w:r w:rsidRPr="00B831E7">
              <w:rPr>
                <w:sz w:val="18"/>
                <w:szCs w:val="18"/>
              </w:rPr>
              <w:t>Convention;</w:t>
            </w:r>
            <w:proofErr w:type="gramEnd"/>
            <w:r w:rsidRPr="00B831E7">
              <w:rPr>
                <w:sz w:val="18"/>
                <w:szCs w:val="18"/>
              </w:rPr>
              <w:t xml:space="preserve"> </w:t>
            </w:r>
          </w:p>
          <w:p w14:paraId="3FAA5BED" w14:textId="77777777" w:rsidR="00D67E22" w:rsidRPr="00B831E7" w:rsidRDefault="00D67E22" w:rsidP="00D67E22">
            <w:pPr>
              <w:pStyle w:val="Normal-pool"/>
              <w:numPr>
                <w:ilvl w:val="0"/>
                <w:numId w:val="17"/>
              </w:numPr>
              <w:tabs>
                <w:tab w:val="clear" w:pos="2381"/>
                <w:tab w:val="clear" w:pos="2948"/>
                <w:tab w:val="clear" w:pos="3515"/>
                <w:tab w:val="clear" w:pos="4082"/>
                <w:tab w:val="left" w:pos="415"/>
              </w:tabs>
              <w:spacing w:before="40" w:after="40"/>
              <w:ind w:left="357" w:hanging="357"/>
              <w:rPr>
                <w:sz w:val="18"/>
                <w:szCs w:val="18"/>
              </w:rPr>
            </w:pPr>
            <w:r w:rsidRPr="00B831E7">
              <w:rPr>
                <w:sz w:val="18"/>
                <w:szCs w:val="18"/>
              </w:rPr>
              <w:t xml:space="preserve">Monitor activities undertaken by or with the support of the Basel Convention regional and coordinating centres, UNEP and other entities aimed at assisting Parties in developing legal frameworks for the implementation of the Basel </w:t>
            </w:r>
            <w:proofErr w:type="gramStart"/>
            <w:r w:rsidRPr="00B831E7">
              <w:rPr>
                <w:sz w:val="18"/>
                <w:szCs w:val="18"/>
              </w:rPr>
              <w:t>Convention;</w:t>
            </w:r>
            <w:proofErr w:type="gramEnd"/>
            <w:r w:rsidRPr="00B831E7">
              <w:rPr>
                <w:sz w:val="18"/>
                <w:szCs w:val="18"/>
              </w:rPr>
              <w:t xml:space="preserve"> </w:t>
            </w:r>
          </w:p>
          <w:p w14:paraId="05956419" w14:textId="77777777" w:rsidR="00D67E22" w:rsidRPr="00B831E7" w:rsidRDefault="00D67E22" w:rsidP="00D67E22">
            <w:pPr>
              <w:pStyle w:val="Normal-pool"/>
              <w:numPr>
                <w:ilvl w:val="0"/>
                <w:numId w:val="17"/>
              </w:numPr>
              <w:tabs>
                <w:tab w:val="clear" w:pos="2381"/>
                <w:tab w:val="clear" w:pos="2948"/>
                <w:tab w:val="clear" w:pos="3515"/>
                <w:tab w:val="clear" w:pos="4082"/>
                <w:tab w:val="left" w:pos="415"/>
              </w:tabs>
              <w:spacing w:before="40" w:after="40"/>
              <w:ind w:left="357" w:hanging="357"/>
              <w:rPr>
                <w:sz w:val="18"/>
                <w:szCs w:val="18"/>
              </w:rPr>
            </w:pPr>
            <w:r w:rsidRPr="00B831E7">
              <w:rPr>
                <w:sz w:val="18"/>
                <w:szCs w:val="18"/>
              </w:rPr>
              <w:t xml:space="preserve">Develop recommendations on how to improve implementation of and compliance with paragraph 4 of Article 4 and paragraph 5 of Article 9 of the </w:t>
            </w:r>
            <w:proofErr w:type="gramStart"/>
            <w:r w:rsidRPr="00B831E7">
              <w:rPr>
                <w:sz w:val="18"/>
                <w:szCs w:val="18"/>
              </w:rPr>
              <w:t>Convention;</w:t>
            </w:r>
            <w:proofErr w:type="gramEnd"/>
          </w:p>
          <w:p w14:paraId="4F2DD41F" w14:textId="77777777" w:rsidR="00D67E22" w:rsidRPr="00B831E7" w:rsidRDefault="00D67E22" w:rsidP="00D67E22">
            <w:pPr>
              <w:pStyle w:val="Normal-pool"/>
              <w:numPr>
                <w:ilvl w:val="0"/>
                <w:numId w:val="17"/>
              </w:numPr>
              <w:tabs>
                <w:tab w:val="clear" w:pos="2381"/>
                <w:tab w:val="clear" w:pos="2948"/>
                <w:tab w:val="clear" w:pos="3515"/>
                <w:tab w:val="clear" w:pos="4082"/>
                <w:tab w:val="left" w:pos="415"/>
              </w:tabs>
              <w:spacing w:before="40" w:after="40"/>
              <w:ind w:left="357" w:hanging="357"/>
              <w:rPr>
                <w:sz w:val="18"/>
                <w:szCs w:val="18"/>
              </w:rPr>
            </w:pPr>
            <w:r w:rsidRPr="00B831E7">
              <w:rPr>
                <w:sz w:val="18"/>
                <w:szCs w:val="18"/>
              </w:rPr>
              <w:t>When undertaking the activities listed in subparagraphs (a) to (e) above, give adequate consideration to improving the implementation of and compliance with paragraph 4 of Article 4 and paragraph 5 of Article 9 of the Convention with respect to the amendments pursuant to decision BC</w:t>
            </w:r>
            <w:r w:rsidRPr="00B831E7">
              <w:rPr>
                <w:sz w:val="18"/>
                <w:szCs w:val="18"/>
              </w:rPr>
              <w:noBreakHyphen/>
              <w:t>III/1 (Ban Amendment) and decision BC-14/12 (plastic wastes amendments</w:t>
            </w:r>
            <w:proofErr w:type="gramStart"/>
            <w:r w:rsidRPr="00B831E7">
              <w:rPr>
                <w:sz w:val="18"/>
                <w:szCs w:val="18"/>
              </w:rPr>
              <w:t>);</w:t>
            </w:r>
            <w:proofErr w:type="gramEnd"/>
            <w:r w:rsidRPr="00B831E7">
              <w:rPr>
                <w:sz w:val="18"/>
                <w:szCs w:val="18"/>
              </w:rPr>
              <w:t xml:space="preserve"> </w:t>
            </w:r>
          </w:p>
          <w:p w14:paraId="2C2F7637" w14:textId="77777777" w:rsidR="00D67E22" w:rsidRPr="00B831E7" w:rsidRDefault="00D67E22" w:rsidP="00D67E22">
            <w:pPr>
              <w:pStyle w:val="Normal-pool"/>
              <w:numPr>
                <w:ilvl w:val="0"/>
                <w:numId w:val="17"/>
              </w:numPr>
              <w:tabs>
                <w:tab w:val="clear" w:pos="2381"/>
                <w:tab w:val="clear" w:pos="2948"/>
                <w:tab w:val="clear" w:pos="3515"/>
                <w:tab w:val="clear" w:pos="4082"/>
                <w:tab w:val="left" w:pos="415"/>
              </w:tabs>
              <w:spacing w:before="40" w:after="40"/>
              <w:ind w:left="357" w:hanging="357"/>
              <w:rPr>
                <w:sz w:val="18"/>
                <w:szCs w:val="18"/>
              </w:rPr>
            </w:pPr>
            <w:r w:rsidRPr="00B831E7">
              <w:rPr>
                <w:sz w:val="18"/>
                <w:szCs w:val="18"/>
              </w:rPr>
              <w:t>Establish a dialogue and coordinate with the Basel Convention regional and coordinating centres, the Executive Board of the Special Programme to support institutional strengthening at the national level for implementation of the Basel, Rotterdam and Stockholm Conventions, the Minamata Convention and the Strategic Approach to International Chemicals Management, UNEP and other entities, such as FAO, GEF, UNDP, UNIDO, the World Bank and regional development banks, on their activities aimed at supporting Parties in performing their obligations related to the development of legal frameworks to implement and enforce the Convention, and develop recommendations for consideration by the Conference of the Parties;</w:t>
            </w:r>
          </w:p>
          <w:p w14:paraId="33D6E45D" w14:textId="77777777" w:rsidR="00D67E22" w:rsidRPr="00B831E7" w:rsidRDefault="00D67E22" w:rsidP="00D67E22">
            <w:pPr>
              <w:pStyle w:val="Normal-pool"/>
              <w:numPr>
                <w:ilvl w:val="0"/>
                <w:numId w:val="17"/>
              </w:numPr>
              <w:tabs>
                <w:tab w:val="clear" w:pos="2381"/>
                <w:tab w:val="clear" w:pos="2948"/>
                <w:tab w:val="clear" w:pos="3515"/>
                <w:tab w:val="clear" w:pos="4082"/>
                <w:tab w:val="left" w:pos="415"/>
              </w:tabs>
              <w:spacing w:before="40" w:after="40"/>
              <w:ind w:left="357" w:hanging="357"/>
              <w:rPr>
                <w:sz w:val="18"/>
                <w:szCs w:val="18"/>
              </w:rPr>
            </w:pPr>
            <w:r w:rsidRPr="00B831E7">
              <w:rPr>
                <w:sz w:val="18"/>
                <w:szCs w:val="18"/>
              </w:rPr>
              <w:t>Review, subject to the availability of resources and according to the priorities established by the Conference of the Parties for the given biennium, Parties’ implementation of the Convention in national law, starting with Parties that have not yet provided information to the Secretariat as to whether they have national legislation implementing the Convention,</w:t>
            </w:r>
            <w:r w:rsidRPr="00B831E7">
              <w:rPr>
                <w:rStyle w:val="FootnoteReference"/>
                <w:sz w:val="18"/>
              </w:rPr>
              <w:footnoteReference w:id="12"/>
            </w:r>
            <w:r w:rsidRPr="00B831E7">
              <w:rPr>
                <w:sz w:val="18"/>
                <w:szCs w:val="18"/>
              </w:rPr>
              <w:t xml:space="preserve"> for consideration by the Conference of the Parties at its sixteenth and subsequent meetings.</w:t>
            </w:r>
            <w:r w:rsidRPr="00B831E7">
              <w:rPr>
                <w:sz w:val="18"/>
                <w:szCs w:val="18"/>
                <w:vertAlign w:val="superscript"/>
              </w:rPr>
              <w:footnoteReference w:id="13"/>
            </w:r>
            <w:r w:rsidRPr="00B831E7">
              <w:rPr>
                <w:sz w:val="18"/>
                <w:szCs w:val="18"/>
              </w:rPr>
              <w:t xml:space="preserve"> </w:t>
            </w:r>
          </w:p>
        </w:tc>
      </w:tr>
      <w:tr w:rsidR="00D67E22" w:rsidRPr="00B831E7" w14:paraId="6BC2C5C3" w14:textId="77777777" w:rsidTr="00AF1B49">
        <w:trPr>
          <w:trHeight w:val="57"/>
          <w:jc w:val="right"/>
        </w:trPr>
        <w:tc>
          <w:tcPr>
            <w:tcW w:w="2171" w:type="dxa"/>
            <w:shd w:val="clear" w:color="auto" w:fill="auto"/>
            <w:hideMark/>
          </w:tcPr>
          <w:p w14:paraId="60AF383B" w14:textId="77777777" w:rsidR="00D67E22" w:rsidRPr="00B831E7" w:rsidRDefault="00D67E22" w:rsidP="00AF1B49">
            <w:pPr>
              <w:pStyle w:val="Normal-pool"/>
              <w:keepNext/>
              <w:keepLines/>
              <w:tabs>
                <w:tab w:val="left" w:pos="316"/>
              </w:tabs>
              <w:spacing w:before="40" w:after="40"/>
              <w:rPr>
                <w:b/>
                <w:bCs/>
                <w:sz w:val="18"/>
                <w:szCs w:val="18"/>
              </w:rPr>
            </w:pPr>
            <w:r w:rsidRPr="00B831E7">
              <w:rPr>
                <w:b/>
                <w:bCs/>
                <w:sz w:val="18"/>
                <w:szCs w:val="18"/>
              </w:rPr>
              <w:lastRenderedPageBreak/>
              <w:t>4.</w:t>
            </w:r>
            <w:r w:rsidRPr="00B831E7">
              <w:rPr>
                <w:b/>
                <w:bCs/>
                <w:sz w:val="18"/>
                <w:szCs w:val="18"/>
              </w:rPr>
              <w:tab/>
              <w:t>Review and updating</w:t>
            </w:r>
          </w:p>
          <w:p w14:paraId="3D0D1975" w14:textId="77777777" w:rsidR="00D67E22" w:rsidRPr="00B831E7" w:rsidRDefault="00D67E22" w:rsidP="00AF1B49">
            <w:pPr>
              <w:pStyle w:val="Normal-pool"/>
              <w:keepNext/>
              <w:keepLines/>
              <w:spacing w:before="40" w:after="40"/>
              <w:ind w:left="320"/>
              <w:rPr>
                <w:rFonts w:eastAsia="Arial"/>
                <w:b/>
                <w:bCs/>
                <w:sz w:val="18"/>
                <w:szCs w:val="18"/>
                <w:lang w:eastAsia="ar-SA"/>
              </w:rPr>
            </w:pPr>
            <w:proofErr w:type="gramStart"/>
            <w:r w:rsidRPr="00B831E7">
              <w:rPr>
                <w:sz w:val="18"/>
                <w:szCs w:val="18"/>
              </w:rPr>
              <w:t>Generally</w:t>
            </w:r>
            <w:proofErr w:type="gramEnd"/>
            <w:r w:rsidRPr="00B831E7">
              <w:rPr>
                <w:sz w:val="18"/>
                <w:szCs w:val="18"/>
              </w:rPr>
              <w:t xml:space="preserve"> improve the implementation of and compliance with the Convention.</w:t>
            </w:r>
          </w:p>
        </w:tc>
        <w:tc>
          <w:tcPr>
            <w:tcW w:w="6136" w:type="dxa"/>
            <w:shd w:val="clear" w:color="auto" w:fill="auto"/>
            <w:hideMark/>
          </w:tcPr>
          <w:p w14:paraId="3A96782B" w14:textId="77777777" w:rsidR="00D67E22" w:rsidRPr="00B831E7" w:rsidRDefault="00D67E22" w:rsidP="00AF1B49">
            <w:pPr>
              <w:pStyle w:val="Normal-pool"/>
              <w:keepNext/>
              <w:keepLines/>
              <w:tabs>
                <w:tab w:val="left" w:pos="415"/>
              </w:tabs>
              <w:spacing w:before="40" w:after="40"/>
              <w:ind w:left="415" w:hanging="415"/>
              <w:rPr>
                <w:sz w:val="18"/>
                <w:szCs w:val="18"/>
              </w:rPr>
            </w:pPr>
            <w:r w:rsidRPr="00B831E7">
              <w:rPr>
                <w:sz w:val="18"/>
                <w:szCs w:val="18"/>
              </w:rPr>
              <w:t>(a)</w:t>
            </w:r>
            <w:r w:rsidRPr="00B831E7">
              <w:rPr>
                <w:sz w:val="18"/>
                <w:szCs w:val="18"/>
              </w:rPr>
              <w:tab/>
              <w:t xml:space="preserve">Regularly review the guidance developed by the Committee on the basis of periodic feedback from users and suggestions from stakeholders and in the light of decisions adopted by the Conference of the Parties, and make recommendations to the Conference of the Parties on the updating of the </w:t>
            </w:r>
            <w:proofErr w:type="gramStart"/>
            <w:r w:rsidRPr="00B831E7">
              <w:rPr>
                <w:sz w:val="18"/>
                <w:szCs w:val="18"/>
              </w:rPr>
              <w:t>guidance;</w:t>
            </w:r>
            <w:proofErr w:type="gramEnd"/>
            <w:r w:rsidRPr="00B831E7">
              <w:rPr>
                <w:sz w:val="18"/>
                <w:szCs w:val="18"/>
              </w:rPr>
              <w:t xml:space="preserve"> </w:t>
            </w:r>
          </w:p>
          <w:p w14:paraId="398CDB38" w14:textId="77777777" w:rsidR="00D67E22" w:rsidRPr="00B831E7" w:rsidRDefault="00D67E22" w:rsidP="00AF1B49">
            <w:pPr>
              <w:pStyle w:val="Normal-pool"/>
              <w:keepNext/>
              <w:keepLines/>
              <w:tabs>
                <w:tab w:val="left" w:pos="415"/>
              </w:tabs>
              <w:spacing w:before="40" w:after="40"/>
              <w:ind w:left="415" w:hanging="415"/>
              <w:rPr>
                <w:sz w:val="18"/>
                <w:szCs w:val="18"/>
              </w:rPr>
            </w:pPr>
            <w:r w:rsidRPr="00B831E7">
              <w:rPr>
                <w:sz w:val="18"/>
                <w:szCs w:val="18"/>
              </w:rPr>
              <w:t>(b)</w:t>
            </w:r>
            <w:r w:rsidRPr="00B831E7">
              <w:rPr>
                <w:sz w:val="18"/>
                <w:szCs w:val="18"/>
              </w:rPr>
              <w:tab/>
              <w:t>Update, on behalf of the Conference of the Parties and subject to the availability of resources, the Guide to the Control System and the Manual for the Implementation of the Basel Convention by including, as relevant, references to Article 4A of the Convention, the plastic wastes amendments, the glossary of terms and technical guidelines and new guidance adopted since the twelfth meeting of the Conference of the Parties</w:t>
            </w:r>
            <w:r w:rsidRPr="00B831E7">
              <w:rPr>
                <w:sz w:val="18"/>
                <w:szCs w:val="18"/>
                <w:lang w:eastAsia="en-CA"/>
              </w:rPr>
              <w:t xml:space="preserve">. </w:t>
            </w:r>
          </w:p>
        </w:tc>
      </w:tr>
      <w:tr w:rsidR="00D67E22" w:rsidRPr="00B831E7" w14:paraId="7E5EDB6D" w14:textId="77777777" w:rsidTr="00AF1B49">
        <w:trPr>
          <w:trHeight w:val="57"/>
          <w:jc w:val="right"/>
        </w:trPr>
        <w:tc>
          <w:tcPr>
            <w:tcW w:w="2171" w:type="dxa"/>
            <w:tcBorders>
              <w:bottom w:val="single" w:sz="4" w:space="0" w:color="auto"/>
            </w:tcBorders>
            <w:shd w:val="clear" w:color="auto" w:fill="auto"/>
          </w:tcPr>
          <w:p w14:paraId="2A29C28D" w14:textId="77777777" w:rsidR="00D67E22" w:rsidRPr="00B831E7" w:rsidRDefault="00D67E22" w:rsidP="00AF1B49">
            <w:pPr>
              <w:pStyle w:val="Normal-pool"/>
              <w:tabs>
                <w:tab w:val="left" w:pos="316"/>
              </w:tabs>
              <w:spacing w:before="40" w:after="40"/>
              <w:rPr>
                <w:b/>
                <w:bCs/>
                <w:sz w:val="18"/>
                <w:szCs w:val="18"/>
              </w:rPr>
            </w:pPr>
            <w:r w:rsidRPr="00B831E7">
              <w:rPr>
                <w:b/>
                <w:bCs/>
                <w:sz w:val="18"/>
                <w:szCs w:val="18"/>
              </w:rPr>
              <w:t>5.</w:t>
            </w:r>
            <w:r w:rsidRPr="00B831E7">
              <w:rPr>
                <w:b/>
                <w:bCs/>
                <w:sz w:val="18"/>
                <w:szCs w:val="18"/>
              </w:rPr>
              <w:tab/>
              <w:t>Country contacts</w:t>
            </w:r>
          </w:p>
          <w:p w14:paraId="1F1966AE" w14:textId="77777777" w:rsidR="00D67E22" w:rsidRPr="00B831E7" w:rsidRDefault="00D67E22" w:rsidP="00AF1B49">
            <w:pPr>
              <w:pStyle w:val="Normal-pool"/>
              <w:spacing w:before="40" w:after="40"/>
              <w:ind w:left="320"/>
              <w:rPr>
                <w:rFonts w:eastAsia="Arial"/>
                <w:b/>
                <w:sz w:val="18"/>
                <w:szCs w:val="18"/>
                <w:lang w:eastAsia="ar-SA"/>
              </w:rPr>
            </w:pPr>
            <w:r w:rsidRPr="00B831E7">
              <w:rPr>
                <w:sz w:val="18"/>
                <w:szCs w:val="18"/>
              </w:rPr>
              <w:t>Improve the implementation of and compliance with Article 5 of the Convention</w:t>
            </w:r>
          </w:p>
        </w:tc>
        <w:tc>
          <w:tcPr>
            <w:tcW w:w="6136" w:type="dxa"/>
            <w:tcBorders>
              <w:bottom w:val="single" w:sz="4" w:space="0" w:color="auto"/>
            </w:tcBorders>
            <w:shd w:val="clear" w:color="auto" w:fill="auto"/>
          </w:tcPr>
          <w:p w14:paraId="2C84D151" w14:textId="77777777" w:rsidR="00D67E22" w:rsidRPr="00B831E7" w:rsidRDefault="00D67E22" w:rsidP="00AF1B49">
            <w:pPr>
              <w:pStyle w:val="Normal-pool"/>
              <w:spacing w:before="40" w:after="40"/>
              <w:rPr>
                <w:sz w:val="18"/>
                <w:szCs w:val="18"/>
                <w:lang w:eastAsia="en-CA"/>
              </w:rPr>
            </w:pPr>
            <w:r w:rsidRPr="00B831E7">
              <w:rPr>
                <w:sz w:val="18"/>
                <w:szCs w:val="18"/>
              </w:rPr>
              <w:t xml:space="preserve">Review Parties’ implementation of and compliance with the obligation to designate competent authorities and a focal point pursuant to Article 5, including any common difficulties or issues being faced by Parties with respect to the obligation to </w:t>
            </w:r>
            <w:r w:rsidRPr="00B831E7">
              <w:rPr>
                <w:color w:val="000000"/>
                <w:sz w:val="18"/>
                <w:szCs w:val="18"/>
              </w:rPr>
              <w:t xml:space="preserve">inform the Secretariat, within one month of the date of decision, of any changes made by them to the designation of such country contacts, </w:t>
            </w:r>
            <w:r w:rsidRPr="00B831E7">
              <w:rPr>
                <w:sz w:val="18"/>
                <w:szCs w:val="18"/>
              </w:rPr>
              <w:t>and make recommendations to the Conference of the Parties.</w:t>
            </w:r>
          </w:p>
        </w:tc>
      </w:tr>
      <w:tr w:rsidR="00D67E22" w:rsidRPr="00B831E7" w14:paraId="2E12E6C8" w14:textId="77777777" w:rsidTr="00AF1B49">
        <w:trPr>
          <w:trHeight w:val="57"/>
          <w:jc w:val="right"/>
        </w:trPr>
        <w:tc>
          <w:tcPr>
            <w:tcW w:w="2171" w:type="dxa"/>
            <w:shd w:val="clear" w:color="auto" w:fill="auto"/>
          </w:tcPr>
          <w:p w14:paraId="1814DDFC" w14:textId="77777777" w:rsidR="00D67E22" w:rsidRPr="00B831E7" w:rsidRDefault="00D67E22" w:rsidP="00AF1B49">
            <w:pPr>
              <w:pStyle w:val="Normal-pool"/>
              <w:tabs>
                <w:tab w:val="left" w:pos="316"/>
              </w:tabs>
              <w:spacing w:before="40" w:after="40"/>
              <w:ind w:left="316" w:hanging="316"/>
              <w:rPr>
                <w:rFonts w:eastAsia="Arial"/>
                <w:b/>
                <w:sz w:val="18"/>
                <w:szCs w:val="18"/>
                <w:lang w:eastAsia="ar-SA"/>
              </w:rPr>
            </w:pPr>
            <w:r w:rsidRPr="00B831E7">
              <w:rPr>
                <w:b/>
                <w:bCs/>
                <w:sz w:val="18"/>
                <w:szCs w:val="18"/>
              </w:rPr>
              <w:t>6.</w:t>
            </w:r>
            <w:r w:rsidRPr="00B831E7">
              <w:rPr>
                <w:b/>
                <w:bCs/>
                <w:sz w:val="18"/>
                <w:szCs w:val="18"/>
              </w:rPr>
              <w:tab/>
              <w:t>Enhanced coordination with the Compliance Committee of the Rotterdam Convention</w:t>
            </w:r>
          </w:p>
        </w:tc>
        <w:tc>
          <w:tcPr>
            <w:tcW w:w="6136" w:type="dxa"/>
            <w:shd w:val="clear" w:color="auto" w:fill="auto"/>
          </w:tcPr>
          <w:p w14:paraId="7394C9E9" w14:textId="77777777" w:rsidR="00D67E22" w:rsidRPr="00B831E7" w:rsidRDefault="00D67E22" w:rsidP="00AF1B49">
            <w:pPr>
              <w:pStyle w:val="Normal-pool"/>
              <w:spacing w:before="40" w:after="40"/>
              <w:rPr>
                <w:sz w:val="18"/>
                <w:szCs w:val="18"/>
                <w:lang w:eastAsia="en-CA"/>
              </w:rPr>
            </w:pPr>
            <w:r w:rsidRPr="00B831E7">
              <w:rPr>
                <w:sz w:val="18"/>
                <w:szCs w:val="18"/>
              </w:rPr>
              <w:t>Explore the possibilities for enhancing coordination with the Compliance Committee of the Rotterdam Convention to facilitate compliance through, for example, the provision of joint secretariat support for the committees, facilitation of the exchange of information between the committees, including reports on the outcomes of each other’s meetings, attendance by each chair at the meetings of the other committee and the appointment of committee members who have experience of the other compliance mechanism, and make recommendations to the Conference of the Parties.</w:t>
            </w:r>
          </w:p>
        </w:tc>
      </w:tr>
      <w:tr w:rsidR="00D67E22" w:rsidRPr="00B831E7" w14:paraId="31435E16" w14:textId="77777777" w:rsidTr="00AF1B49">
        <w:trPr>
          <w:trHeight w:val="57"/>
          <w:jc w:val="right"/>
        </w:trPr>
        <w:tc>
          <w:tcPr>
            <w:tcW w:w="2171" w:type="dxa"/>
            <w:tcBorders>
              <w:bottom w:val="single" w:sz="12" w:space="0" w:color="auto"/>
            </w:tcBorders>
            <w:shd w:val="clear" w:color="auto" w:fill="auto"/>
          </w:tcPr>
          <w:p w14:paraId="262C594E" w14:textId="77777777" w:rsidR="00D67E22" w:rsidRPr="00B831E7" w:rsidRDefault="00D67E22" w:rsidP="00AF1B49">
            <w:pPr>
              <w:pStyle w:val="Normal-pool"/>
              <w:tabs>
                <w:tab w:val="left" w:pos="316"/>
              </w:tabs>
              <w:spacing w:before="40" w:after="40"/>
              <w:ind w:left="316" w:hanging="316"/>
              <w:rPr>
                <w:sz w:val="18"/>
                <w:szCs w:val="18"/>
              </w:rPr>
            </w:pPr>
            <w:r w:rsidRPr="00B831E7">
              <w:rPr>
                <w:sz w:val="18"/>
                <w:szCs w:val="18"/>
              </w:rPr>
              <w:t>7</w:t>
            </w:r>
            <w:r w:rsidRPr="00B831E7">
              <w:rPr>
                <w:b/>
                <w:bCs/>
                <w:sz w:val="18"/>
                <w:szCs w:val="18"/>
              </w:rPr>
              <w:t>.</w:t>
            </w:r>
            <w:r w:rsidRPr="00B831E7">
              <w:rPr>
                <w:b/>
                <w:bCs/>
                <w:sz w:val="18"/>
                <w:szCs w:val="18"/>
              </w:rPr>
              <w:tab/>
              <w:t>Integration in United Nations Sustainable Development Cooperation Frameworks</w:t>
            </w:r>
          </w:p>
        </w:tc>
        <w:tc>
          <w:tcPr>
            <w:tcW w:w="6136" w:type="dxa"/>
            <w:tcBorders>
              <w:bottom w:val="single" w:sz="12" w:space="0" w:color="auto"/>
            </w:tcBorders>
            <w:shd w:val="clear" w:color="auto" w:fill="auto"/>
          </w:tcPr>
          <w:p w14:paraId="0E6AC63A" w14:textId="77777777" w:rsidR="00D67E22" w:rsidRPr="00B831E7" w:rsidRDefault="00D67E22" w:rsidP="00AF1B49">
            <w:pPr>
              <w:pStyle w:val="Normal-pool"/>
              <w:spacing w:before="40" w:after="40"/>
              <w:rPr>
                <w:sz w:val="18"/>
                <w:szCs w:val="18"/>
              </w:rPr>
            </w:pPr>
            <w:r w:rsidRPr="00B831E7">
              <w:rPr>
                <w:sz w:val="18"/>
                <w:szCs w:val="18"/>
              </w:rPr>
              <w:t>Provide guidance, for consideration by the Conference of the Parties at its sixteenth meeting, on how individual Parties can integrate action to address their needs under the Basel Convention into their United Nations Sustainable Development Cooperation Frameworks.</w:t>
            </w:r>
          </w:p>
        </w:tc>
      </w:tr>
    </w:tbl>
    <w:p w14:paraId="007D429F" w14:textId="77777777" w:rsidR="00D67E22" w:rsidRPr="00B831E7" w:rsidRDefault="00D67E22" w:rsidP="00D67E22">
      <w:pPr>
        <w:pStyle w:val="CH1"/>
      </w:pPr>
      <w:r w:rsidRPr="00B831E7">
        <w:tab/>
        <w:t>II.</w:t>
      </w:r>
      <w:r w:rsidRPr="00B831E7">
        <w:tab/>
        <w:t>Specific submissions regarding Party implementation and compliance</w:t>
      </w:r>
    </w:p>
    <w:p w14:paraId="60716BF5"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t>The Committee shall accord priority to dealing with specific submissions regarding Party implementation and compliance received or initiated in accordance with paragraph 9 of the terms of reference of the mechanism for promoting implementation and compliance.</w:t>
      </w:r>
    </w:p>
    <w:p w14:paraId="7A47778F" w14:textId="77777777" w:rsidR="00D67E22" w:rsidRPr="00B831E7" w:rsidRDefault="00D67E22" w:rsidP="00D67E22">
      <w:pPr>
        <w:pStyle w:val="Normal-pool"/>
        <w:numPr>
          <w:ilvl w:val="6"/>
          <w:numId w:val="20"/>
        </w:numPr>
        <w:tabs>
          <w:tab w:val="clear" w:pos="1247"/>
          <w:tab w:val="clear" w:pos="1814"/>
          <w:tab w:val="clear" w:pos="2381"/>
          <w:tab w:val="clear" w:pos="2948"/>
          <w:tab w:val="clear" w:pos="3515"/>
          <w:tab w:val="clear" w:pos="4082"/>
        </w:tabs>
        <w:spacing w:after="120"/>
        <w:ind w:left="1247" w:firstLine="624"/>
      </w:pPr>
      <w:r w:rsidRPr="00B831E7">
        <w:t xml:space="preserve">In relation to the implementation fund, the Committee shall make recommendations to the Executive Secretary on the allocation of the available resources from the fund during the period between the fifteenth and sixteenth meetings of the Conference of the Parties to assist Parties in the context of </w:t>
      </w:r>
      <w:bookmarkStart w:id="26" w:name="_Hlk536689899"/>
      <w:r w:rsidRPr="00B831E7">
        <w:t xml:space="preserve">the facilitation procedure set out in paragraphs 19 and 20 of the terms of reference </w:t>
      </w:r>
      <w:bookmarkEnd w:id="26"/>
      <w:r w:rsidRPr="00B831E7">
        <w:t xml:space="preserve">of the mechanism for promoting implementation and compliance. The resources are intended to fund activities listed in the compliance action plans presented by Parties in relation to specific submissions and approved by the Committee. </w:t>
      </w:r>
    </w:p>
    <w:p w14:paraId="1D7F4CB3" w14:textId="37F01E24" w:rsidR="00F935A6" w:rsidRPr="00D67E22" w:rsidRDefault="00F935A6" w:rsidP="00D67E22">
      <w:pPr>
        <w:spacing w:after="120"/>
        <w:rPr>
          <w:lang w:val="en-GB"/>
        </w:rPr>
      </w:pPr>
    </w:p>
    <w:sectPr w:rsidR="00F935A6" w:rsidRPr="00D67E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955A1" w14:textId="77777777" w:rsidR="009A335E" w:rsidRDefault="009A335E" w:rsidP="004956AB">
      <w:r>
        <w:separator/>
      </w:r>
    </w:p>
  </w:endnote>
  <w:endnote w:type="continuationSeparator" w:id="0">
    <w:p w14:paraId="194BAB8D" w14:textId="77777777" w:rsidR="009A335E" w:rsidRDefault="009A335E"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CE9A9" w14:textId="77777777" w:rsidR="009A335E" w:rsidRDefault="009A335E" w:rsidP="004956AB">
      <w:r>
        <w:separator/>
      </w:r>
    </w:p>
  </w:footnote>
  <w:footnote w:type="continuationSeparator" w:id="0">
    <w:p w14:paraId="46753161" w14:textId="77777777" w:rsidR="009A335E" w:rsidRDefault="009A335E" w:rsidP="004956AB">
      <w:r>
        <w:continuationSeparator/>
      </w:r>
    </w:p>
  </w:footnote>
  <w:footnote w:id="1">
    <w:p w14:paraId="1FB23C92" w14:textId="77777777" w:rsidR="00D67E22" w:rsidRPr="000629DC" w:rsidRDefault="00D67E22" w:rsidP="00D67E22">
      <w:pPr>
        <w:pStyle w:val="Footnote-Text"/>
        <w:rPr>
          <w:szCs w:val="18"/>
        </w:rPr>
      </w:pPr>
      <w:r w:rsidRPr="000629DC">
        <w:rPr>
          <w:szCs w:val="18"/>
          <w:vertAlign w:val="superscript"/>
        </w:rPr>
        <w:footnoteRef/>
      </w:r>
      <w:r w:rsidRPr="000629DC">
        <w:rPr>
          <w:szCs w:val="18"/>
        </w:rPr>
        <w:t xml:space="preserve"> UNEP/CHW.15/12/Rev.2.</w:t>
      </w:r>
    </w:p>
  </w:footnote>
  <w:footnote w:id="2">
    <w:p w14:paraId="13CA78B8" w14:textId="77777777" w:rsidR="00D67E22" w:rsidRPr="000629DC" w:rsidRDefault="00D67E22" w:rsidP="00D67E22">
      <w:pPr>
        <w:pStyle w:val="Footnote-Text"/>
        <w:rPr>
          <w:szCs w:val="18"/>
        </w:rPr>
      </w:pPr>
      <w:r w:rsidRPr="000629DC">
        <w:rPr>
          <w:szCs w:val="18"/>
          <w:vertAlign w:val="superscript"/>
        </w:rPr>
        <w:footnoteRef/>
      </w:r>
      <w:r w:rsidRPr="000629DC">
        <w:rPr>
          <w:szCs w:val="18"/>
        </w:rPr>
        <w:t xml:space="preserve"> Submissions regarding the Bahamas, Bhutan, the Democratic People’s Republic of Korea, Sao Tome and Principe and Turkmenistan. </w:t>
      </w:r>
    </w:p>
  </w:footnote>
  <w:footnote w:id="3">
    <w:p w14:paraId="5985EFDA" w14:textId="77777777" w:rsidR="00D67E22" w:rsidRPr="000629DC" w:rsidRDefault="00D67E22" w:rsidP="00D67E22">
      <w:pPr>
        <w:pStyle w:val="Footnote-Text"/>
        <w:rPr>
          <w:szCs w:val="18"/>
        </w:rPr>
      </w:pPr>
      <w:r w:rsidRPr="000629DC">
        <w:rPr>
          <w:rStyle w:val="FootnoteReference"/>
        </w:rPr>
        <w:footnoteRef/>
      </w:r>
      <w:r w:rsidRPr="000629DC">
        <w:rPr>
          <w:szCs w:val="18"/>
        </w:rPr>
        <w:t xml:space="preserve"> Formerly the United Nations Development Assistance Framework. </w:t>
      </w:r>
    </w:p>
  </w:footnote>
  <w:footnote w:id="4">
    <w:p w14:paraId="024F6334" w14:textId="77777777" w:rsidR="00D67E22" w:rsidRPr="000629DC" w:rsidRDefault="00D67E22" w:rsidP="00D67E22">
      <w:pPr>
        <w:pStyle w:val="Footnote-Text"/>
        <w:rPr>
          <w:szCs w:val="18"/>
        </w:rPr>
      </w:pPr>
      <w:r w:rsidRPr="000629DC">
        <w:rPr>
          <w:szCs w:val="18"/>
          <w:vertAlign w:val="superscript"/>
        </w:rPr>
        <w:footnoteRef/>
      </w:r>
      <w:r w:rsidRPr="000629DC">
        <w:rPr>
          <w:szCs w:val="18"/>
        </w:rPr>
        <w:t xml:space="preserve"> </w:t>
      </w:r>
      <w:bookmarkStart w:id="23" w:name="_Hlk106803895"/>
      <w:r w:rsidRPr="000629DC">
        <w:rPr>
          <w:szCs w:val="18"/>
        </w:rPr>
        <w:t>UNEP/CHW.15/12/Rev.2/Add.1/Rev.1.</w:t>
      </w:r>
      <w:bookmarkEnd w:id="23"/>
    </w:p>
  </w:footnote>
  <w:footnote w:id="5">
    <w:p w14:paraId="3A9D6FAC" w14:textId="77777777" w:rsidR="00D67E22" w:rsidRPr="000629DC" w:rsidRDefault="00D67E22" w:rsidP="00D67E22">
      <w:pPr>
        <w:pStyle w:val="Footnote-Text"/>
        <w:rPr>
          <w:szCs w:val="18"/>
        </w:rPr>
      </w:pPr>
      <w:r w:rsidRPr="000629DC">
        <w:rPr>
          <w:rStyle w:val="FootnoteReference"/>
        </w:rPr>
        <w:footnoteRef/>
      </w:r>
      <w:r w:rsidRPr="000629DC">
        <w:rPr>
          <w:szCs w:val="18"/>
        </w:rPr>
        <w:t xml:space="preserve"> </w:t>
      </w:r>
      <w:bookmarkStart w:id="25" w:name="_Hlk106803932"/>
      <w:r w:rsidRPr="000629DC">
        <w:rPr>
          <w:szCs w:val="18"/>
        </w:rPr>
        <w:t>UNEP/CHW.15/12/Rev.2/Add.2/Rev.1</w:t>
      </w:r>
      <w:bookmarkEnd w:id="25"/>
      <w:r w:rsidRPr="000629DC">
        <w:rPr>
          <w:szCs w:val="18"/>
        </w:rPr>
        <w:t>.</w:t>
      </w:r>
    </w:p>
  </w:footnote>
  <w:footnote w:id="6">
    <w:p w14:paraId="44D1F2A7" w14:textId="77777777" w:rsidR="00D67E22" w:rsidRPr="000629DC" w:rsidRDefault="00D67E22" w:rsidP="00D67E22">
      <w:pPr>
        <w:pStyle w:val="Footnote-Text"/>
        <w:rPr>
          <w:szCs w:val="18"/>
          <w:highlight w:val="cyan"/>
        </w:rPr>
      </w:pPr>
      <w:r w:rsidRPr="000629DC">
        <w:rPr>
          <w:rStyle w:val="FootnoteReference"/>
        </w:rPr>
        <w:footnoteRef/>
      </w:r>
      <w:r w:rsidRPr="000629DC">
        <w:rPr>
          <w:szCs w:val="18"/>
          <w:vertAlign w:val="superscript"/>
        </w:rPr>
        <w:t xml:space="preserve"> </w:t>
      </w:r>
      <w:r w:rsidRPr="000629DC">
        <w:rPr>
          <w:szCs w:val="18"/>
        </w:rPr>
        <w:t>UNEP/CHW.15/INF/17, annex III.</w:t>
      </w:r>
    </w:p>
  </w:footnote>
  <w:footnote w:id="7">
    <w:p w14:paraId="4556C0FE" w14:textId="77777777" w:rsidR="00D67E22" w:rsidRPr="000629DC" w:rsidRDefault="00D67E22" w:rsidP="00D67E22">
      <w:pPr>
        <w:pStyle w:val="Footnote-Text"/>
        <w:rPr>
          <w:szCs w:val="18"/>
        </w:rPr>
      </w:pPr>
      <w:r w:rsidRPr="000629DC">
        <w:rPr>
          <w:szCs w:val="18"/>
          <w:vertAlign w:val="superscript"/>
        </w:rPr>
        <w:footnoteRef/>
      </w:r>
      <w:r w:rsidRPr="000629DC">
        <w:rPr>
          <w:szCs w:val="18"/>
        </w:rPr>
        <w:t xml:space="preserve"> See appendix to decision VI/12.</w:t>
      </w:r>
    </w:p>
  </w:footnote>
  <w:footnote w:id="8">
    <w:p w14:paraId="2C369F53" w14:textId="77777777" w:rsidR="00D67E22" w:rsidRPr="000629DC" w:rsidRDefault="00D67E22" w:rsidP="00D67E22">
      <w:pPr>
        <w:pStyle w:val="Footnote-Text"/>
        <w:rPr>
          <w:szCs w:val="18"/>
          <w:lang w:val="es-ES_tradnl"/>
        </w:rPr>
      </w:pPr>
      <w:r w:rsidRPr="000629DC">
        <w:rPr>
          <w:szCs w:val="18"/>
          <w:vertAlign w:val="superscript"/>
        </w:rPr>
        <w:footnoteRef/>
      </w:r>
      <w:r w:rsidRPr="000629DC">
        <w:rPr>
          <w:szCs w:val="18"/>
          <w:vertAlign w:val="superscript"/>
          <w:lang w:val="es-ES_tradnl"/>
        </w:rPr>
        <w:t xml:space="preserve"> </w:t>
      </w:r>
      <w:proofErr w:type="spellStart"/>
      <w:r w:rsidRPr="000629DC">
        <w:rPr>
          <w:szCs w:val="18"/>
          <w:lang w:val="es-ES_tradnl"/>
        </w:rPr>
        <w:t>Decision</w:t>
      </w:r>
      <w:proofErr w:type="spellEnd"/>
      <w:r w:rsidRPr="000629DC">
        <w:rPr>
          <w:szCs w:val="18"/>
          <w:lang w:val="es-ES_tradnl"/>
        </w:rPr>
        <w:t xml:space="preserve"> BC-13/9, para. 12.</w:t>
      </w:r>
    </w:p>
  </w:footnote>
  <w:footnote w:id="9">
    <w:p w14:paraId="468AFED4" w14:textId="77777777" w:rsidR="00D67E22" w:rsidRPr="000629DC" w:rsidRDefault="00D67E22" w:rsidP="00D67E22">
      <w:pPr>
        <w:pStyle w:val="Footnote-Text"/>
        <w:rPr>
          <w:szCs w:val="18"/>
          <w:lang w:val="es-ES_tradnl"/>
        </w:rPr>
      </w:pPr>
      <w:r w:rsidRPr="000629DC">
        <w:rPr>
          <w:rStyle w:val="footnote"/>
          <w:rFonts w:eastAsia="SimSun"/>
          <w:szCs w:val="18"/>
        </w:rPr>
        <w:footnoteRef/>
      </w:r>
      <w:r w:rsidRPr="000629DC">
        <w:rPr>
          <w:szCs w:val="18"/>
          <w:lang w:val="es-ES_tradnl"/>
        </w:rPr>
        <w:t xml:space="preserve"> </w:t>
      </w:r>
      <w:proofErr w:type="spellStart"/>
      <w:r w:rsidRPr="000629DC">
        <w:rPr>
          <w:szCs w:val="18"/>
          <w:lang w:val="es-ES_tradnl"/>
        </w:rPr>
        <w:t>Decision</w:t>
      </w:r>
      <w:proofErr w:type="spellEnd"/>
      <w:r w:rsidRPr="000629DC">
        <w:rPr>
          <w:szCs w:val="18"/>
          <w:lang w:val="es-ES_tradnl"/>
        </w:rPr>
        <w:t xml:space="preserve"> BC-15/17.</w:t>
      </w:r>
    </w:p>
  </w:footnote>
  <w:footnote w:id="10">
    <w:p w14:paraId="5D5EF663" w14:textId="77777777" w:rsidR="00D67E22" w:rsidRPr="000629DC" w:rsidRDefault="00D67E22" w:rsidP="00D67E22">
      <w:pPr>
        <w:pStyle w:val="Footnote-Text"/>
        <w:rPr>
          <w:szCs w:val="18"/>
          <w:lang w:val="es-ES_tradnl"/>
        </w:rPr>
      </w:pPr>
      <w:r w:rsidRPr="000629DC">
        <w:rPr>
          <w:szCs w:val="18"/>
          <w:vertAlign w:val="superscript"/>
        </w:rPr>
        <w:footnoteRef/>
      </w:r>
      <w:r w:rsidRPr="000629DC">
        <w:rPr>
          <w:szCs w:val="18"/>
          <w:lang w:val="es-ES_tradnl"/>
        </w:rPr>
        <w:t xml:space="preserve"> </w:t>
      </w:r>
      <w:hyperlink r:id="rId1" w:history="1">
        <w:r w:rsidRPr="000629DC">
          <w:rPr>
            <w:rStyle w:val="Hyperlink"/>
            <w:szCs w:val="18"/>
            <w:lang w:val="es-ES_tradnl"/>
          </w:rPr>
          <w:t>www.basel.int/Portals/4/Basel%20Convention/docs/legalmatters/illegtraffic/illegtrafform.pdf</w:t>
        </w:r>
      </w:hyperlink>
      <w:r w:rsidRPr="000629DC">
        <w:rPr>
          <w:rStyle w:val="Hyperlink"/>
          <w:szCs w:val="18"/>
          <w:lang w:val="es-ES_tradnl"/>
        </w:rPr>
        <w:t>.</w:t>
      </w:r>
    </w:p>
  </w:footnote>
  <w:footnote w:id="11">
    <w:p w14:paraId="1F1F18F8" w14:textId="77777777" w:rsidR="00D67E22" w:rsidRPr="000629DC" w:rsidRDefault="00D67E22" w:rsidP="00D67E22">
      <w:pPr>
        <w:pStyle w:val="Footnote-Text"/>
        <w:rPr>
          <w:szCs w:val="18"/>
        </w:rPr>
      </w:pPr>
      <w:r w:rsidRPr="000629DC">
        <w:rPr>
          <w:szCs w:val="18"/>
          <w:vertAlign w:val="superscript"/>
        </w:rPr>
        <w:footnoteRef/>
      </w:r>
      <w:r w:rsidRPr="000629DC">
        <w:rPr>
          <w:szCs w:val="18"/>
        </w:rPr>
        <w:t xml:space="preserve"> The legislator’s checklist is set out in annex I to the Manual for the Implementation of the Basel Convention, available in document UNEP/CHW.12/9/Add.4/Rev.1 and adopted by decision BC-12/7. It is also available as a publication at </w:t>
      </w:r>
      <w:hyperlink r:id="rId2" w:history="1">
        <w:r w:rsidRPr="000629DC">
          <w:rPr>
            <w:rStyle w:val="Hyperlink"/>
            <w:szCs w:val="18"/>
          </w:rPr>
          <w:t>www.basel.int/Implementation/Publications/GuidanceManuals/tabid/2364/Default.aspx</w:t>
        </w:r>
      </w:hyperlink>
      <w:r w:rsidRPr="000629DC">
        <w:rPr>
          <w:szCs w:val="18"/>
        </w:rPr>
        <w:t>.</w:t>
      </w:r>
    </w:p>
  </w:footnote>
  <w:footnote w:id="12">
    <w:p w14:paraId="070DB63E" w14:textId="77777777" w:rsidR="00D67E22" w:rsidRPr="000629DC" w:rsidRDefault="00D67E22" w:rsidP="00D67E22">
      <w:pPr>
        <w:pStyle w:val="Footnote-Text"/>
        <w:rPr>
          <w:szCs w:val="18"/>
        </w:rPr>
      </w:pPr>
      <w:r w:rsidRPr="000629DC">
        <w:rPr>
          <w:rStyle w:val="FootnoteReference"/>
        </w:rPr>
        <w:footnoteRef/>
      </w:r>
      <w:r w:rsidRPr="000629DC">
        <w:rPr>
          <w:szCs w:val="18"/>
        </w:rPr>
        <w:t xml:space="preserve"> See document UNEP/CHW.15/14.</w:t>
      </w:r>
      <w:r w:rsidRPr="000629DC">
        <w:rPr>
          <w:szCs w:val="18"/>
          <w:highlight w:val="yellow"/>
        </w:rPr>
        <w:t xml:space="preserve"> </w:t>
      </w:r>
    </w:p>
  </w:footnote>
  <w:footnote w:id="13">
    <w:p w14:paraId="34151B53" w14:textId="77777777" w:rsidR="00D67E22" w:rsidRPr="000629DC" w:rsidRDefault="00D67E22" w:rsidP="00D67E22">
      <w:pPr>
        <w:pStyle w:val="Footnote-Text"/>
        <w:rPr>
          <w:szCs w:val="18"/>
        </w:rPr>
      </w:pPr>
      <w:r w:rsidRPr="000629DC">
        <w:rPr>
          <w:szCs w:val="18"/>
          <w:vertAlign w:val="superscript"/>
        </w:rPr>
        <w:footnoteRef/>
      </w:r>
      <w:r w:rsidRPr="000629DC">
        <w:rPr>
          <w:szCs w:val="18"/>
        </w:rPr>
        <w:t xml:space="preserve"> </w:t>
      </w:r>
      <w:r w:rsidRPr="000629DC">
        <w:rPr>
          <w:color w:val="000000"/>
          <w:szCs w:val="18"/>
        </w:rPr>
        <w:t>Appropriate allocations in the budget to provide support for the Committee to undertake this work are recommended, along with allocations in the technical assistance budget specifically to help individual Parties with implementation of the Basel Convention.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1D4E70C1"/>
    <w:multiLevelType w:val="hybridMultilevel"/>
    <w:tmpl w:val="C088BDF8"/>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4"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6"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7"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9"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0"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4"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5"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19"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0"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2"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5" w15:restartNumberingAfterBreak="0">
    <w:nsid w:val="7C1F1799"/>
    <w:multiLevelType w:val="hybridMultilevel"/>
    <w:tmpl w:val="EEE092F6"/>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6"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549535577">
    <w:abstractNumId w:val="10"/>
  </w:num>
  <w:num w:numId="2" w16cid:durableId="1473252469">
    <w:abstractNumId w:val="1"/>
  </w:num>
  <w:num w:numId="3" w16cid:durableId="1856917451">
    <w:abstractNumId w:val="23"/>
  </w:num>
  <w:num w:numId="4" w16cid:durableId="1559896294">
    <w:abstractNumId w:val="16"/>
  </w:num>
  <w:num w:numId="5" w16cid:durableId="1636064875">
    <w:abstractNumId w:val="4"/>
  </w:num>
  <w:num w:numId="6" w16cid:durableId="1075932777">
    <w:abstractNumId w:val="20"/>
  </w:num>
  <w:num w:numId="7" w16cid:durableId="1541168782">
    <w:abstractNumId w:val="11"/>
  </w:num>
  <w:num w:numId="8" w16cid:durableId="761536350">
    <w:abstractNumId w:val="8"/>
  </w:num>
  <w:num w:numId="9" w16cid:durableId="252052453">
    <w:abstractNumId w:val="13"/>
  </w:num>
  <w:num w:numId="10" w16cid:durableId="1032876827">
    <w:abstractNumId w:val="12"/>
  </w:num>
  <w:num w:numId="11" w16cid:durableId="657073234">
    <w:abstractNumId w:val="7"/>
  </w:num>
  <w:num w:numId="12" w16cid:durableId="234046659">
    <w:abstractNumId w:val="26"/>
  </w:num>
  <w:num w:numId="13" w16cid:durableId="1095369434">
    <w:abstractNumId w:val="0"/>
  </w:num>
  <w:num w:numId="14" w16cid:durableId="1606308210">
    <w:abstractNumId w:val="22"/>
  </w:num>
  <w:num w:numId="15" w16cid:durableId="1040934813">
    <w:abstractNumId w:val="15"/>
  </w:num>
  <w:num w:numId="16" w16cid:durableId="1067650237">
    <w:abstractNumId w:val="17"/>
  </w:num>
  <w:num w:numId="17" w16cid:durableId="1703281793">
    <w:abstractNumId w:val="18"/>
  </w:num>
  <w:num w:numId="18" w16cid:durableId="2105296400">
    <w:abstractNumId w:val="21"/>
  </w:num>
  <w:num w:numId="19" w16cid:durableId="178739468">
    <w:abstractNumId w:val="14"/>
  </w:num>
  <w:num w:numId="20" w16cid:durableId="1607158641">
    <w:abstractNumId w:val="2"/>
  </w:num>
  <w:num w:numId="21" w16cid:durableId="2091193224">
    <w:abstractNumId w:val="5"/>
  </w:num>
  <w:num w:numId="22" w16cid:durableId="1881474576">
    <w:abstractNumId w:val="6"/>
  </w:num>
  <w:num w:numId="23" w16cid:durableId="1069233709">
    <w:abstractNumId w:val="19"/>
  </w:num>
  <w:num w:numId="24" w16cid:durableId="503667506">
    <w:abstractNumId w:val="9"/>
  </w:num>
  <w:num w:numId="25" w16cid:durableId="1165436476">
    <w:abstractNumId w:val="24"/>
  </w:num>
  <w:num w:numId="26" w16cid:durableId="26831406">
    <w:abstractNumId w:val="3"/>
  </w:num>
  <w:num w:numId="27" w16cid:durableId="102205415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1B3A5F"/>
    <w:rsid w:val="002E5D8A"/>
    <w:rsid w:val="004956AB"/>
    <w:rsid w:val="00542DFC"/>
    <w:rsid w:val="005F7EEC"/>
    <w:rsid w:val="00836B73"/>
    <w:rsid w:val="00884140"/>
    <w:rsid w:val="009A335E"/>
    <w:rsid w:val="00C24420"/>
    <w:rsid w:val="00C84536"/>
    <w:rsid w:val="00D67E22"/>
    <w:rsid w:val="00DF06CA"/>
    <w:rsid w:val="00E044F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file:///C:/Users/mbauj/AppData/Local/Microsoft/Windows/INetCache/Content.Outlook/4XGE62QD/www.basel.int/Implementation/Publications/GuidanceManuals/tabid/2364/Default.aspx" TargetMode="External"/><Relationship Id="rId1" Type="http://schemas.openxmlformats.org/officeDocument/2006/relationships/hyperlink" Target="http://www.basel.int/Portals/4/Basel%20Convention/docs/legalmatters/illegtraffic/illegtraffor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6337</Words>
  <Characters>36124</Characters>
  <Application>Microsoft Office Word</Application>
  <DocSecurity>0</DocSecurity>
  <Lines>301</Lines>
  <Paragraphs>84</Paragraphs>
  <ScaleCrop>false</ScaleCrop>
  <Company/>
  <LinksUpToDate>false</LinksUpToDate>
  <CharactersWithSpaces>42377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2023-04-24T13:05:00Z</dcterms:created>
  <dcterms:modified xsi:type="dcterms:W3CDTF">2023-04-24T13:05:00Z</dcterms:modified>
</cp:coreProperties>
</file>