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6D85A" w14:textId="77777777" w:rsidR="00BD27C1" w:rsidRPr="00DE0F03" w:rsidRDefault="00BD27C1" w:rsidP="00BD27C1">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ب-15/18</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تعديلات على المرفقات الثاني والثامن والتاسع لاتفاقية بازل</w:t>
      </w:r>
    </w:p>
    <w:p w14:paraId="33F6B7E9" w14:textId="77777777" w:rsidR="00BD27C1" w:rsidRPr="00DE0F03" w:rsidRDefault="00BD27C1" w:rsidP="00BD27C1">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val="ar-SA" w:eastAsia="zh-TW"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1AFA2D81" w14:textId="77777777" w:rsidR="00BD27C1" w:rsidRPr="00DE0F03" w:rsidRDefault="00BD27C1" w:rsidP="00BD27C1">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eastAsia="Times New Roman"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وقد</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المقترح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قدمته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حكومتا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سويسرا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وغانا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لتعديل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المرفقات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الثاني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والثامن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والتاسع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التحكم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نقل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الخطرة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والتخلص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عبر</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الحدود</w:t>
      </w:r>
      <w:proofErr w:type="spellEnd"/>
      <w:r w:rsidRPr="00DE0F03">
        <w:rPr>
          <w:rFonts w:ascii="Simplified Arabic" w:hAnsi="Simplified Arabic" w:cs="Simplified Arabic" w:hint="cs"/>
          <w:sz w:val="24"/>
          <w:szCs w:val="24"/>
          <w:vertAlign w:val="superscript"/>
        </w:rPr>
        <w:t>(</w:t>
      </w:r>
      <w:proofErr w:type="gramEnd"/>
      <w:r w:rsidRPr="00DE0F03">
        <w:rPr>
          <w:rStyle w:val="FootnoteReference"/>
          <w:rFonts w:ascii="Simplified Arabic" w:hAnsi="Simplified Arabic" w:cs="Simplified Arabic"/>
          <w:sz w:val="24"/>
          <w:szCs w:val="24"/>
        </w:rPr>
        <w:footnoteReference w:id="1"/>
      </w:r>
      <w:r w:rsidRPr="00DE0F03">
        <w:rPr>
          <w:rFonts w:ascii="Simplified Arabic" w:hAnsi="Simplified Arabic" w:cs="Simplified Arabic" w:hint="cs"/>
          <w:sz w:val="24"/>
          <w:szCs w:val="24"/>
          <w:vertAlign w:val="superscript"/>
        </w:rPr>
        <w:t>)</w:t>
      </w:r>
      <w:r w:rsidRPr="00DE0F03">
        <w:rPr>
          <w:rFonts w:ascii="Simplified Arabic" w:hAnsi="Simplified Arabic" w:cs="Simplified Arabic" w:hint="cs"/>
          <w:sz w:val="24"/>
          <w:szCs w:val="24"/>
        </w:rPr>
        <w:t>،</w:t>
      </w:r>
    </w:p>
    <w:p w14:paraId="0AB068C3" w14:textId="77777777" w:rsidR="00BD27C1" w:rsidRPr="00DE0F03" w:rsidRDefault="00BD27C1" w:rsidP="00BD27C1">
      <w:pPr>
        <w:pStyle w:val="ListParagraph"/>
        <w:numPr>
          <w:ilvl w:val="0"/>
          <w:numId w:val="4"/>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يقرر</w:t>
      </w:r>
      <w:r w:rsidRPr="00DE0F03">
        <w:rPr>
          <w:rFonts w:ascii="Simplified Arabic" w:eastAsia="Times New Roman" w:hAnsi="Simplified Arabic" w:cs="Simplified Arabic"/>
          <w:sz w:val="24"/>
          <w:szCs w:val="24"/>
          <w:rtl/>
          <w:lang w:val="en-GB"/>
        </w:rPr>
        <w:t xml:space="preserve"> تعديل المرفق الثاني لاتفاقية بازل بشأن التحكم في نقل النفايات الخطرة والتخلص منها عبر الحدود عن طريق إضافة القيد التالي</w:t>
      </w:r>
      <w:r w:rsidRPr="00DE0F03">
        <w:rPr>
          <w:rFonts w:ascii="Simplified Arabic" w:eastAsia="Times New Roman" w:hAnsi="Simplified Arabic" w:cs="Simplified Arabic"/>
          <w:sz w:val="24"/>
          <w:szCs w:val="24"/>
          <w:lang w:val="en-GB"/>
        </w:rPr>
        <w:t>:</w:t>
      </w:r>
      <w:r w:rsidRPr="00DE0F03">
        <w:rPr>
          <w:rFonts w:ascii="Simplified Arabic" w:eastAsia="Times New Roman" w:hAnsi="Simplified Arabic" w:cs="Simplified Arabic"/>
          <w:sz w:val="24"/>
          <w:szCs w:val="24"/>
          <w:rtl/>
          <w:lang w:val="en-GB"/>
        </w:rPr>
        <w:t xml:space="preserve"> </w:t>
      </w:r>
    </w:p>
    <w:tbl>
      <w:tblPr>
        <w:bidiVisual/>
        <w:tblW w:w="836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278"/>
        <w:gridCol w:w="7085"/>
      </w:tblGrid>
      <w:tr w:rsidR="00BD27C1" w:rsidRPr="00DE0F03" w14:paraId="4BDDE288" w14:textId="77777777" w:rsidTr="00DA1ACF">
        <w:trPr>
          <w:trHeight w:val="57"/>
        </w:trPr>
        <w:tc>
          <w:tcPr>
            <w:tcW w:w="1278" w:type="dxa"/>
            <w:noWrap/>
          </w:tcPr>
          <w:p w14:paraId="2CAFAB7A" w14:textId="77777777" w:rsidR="00BD27C1" w:rsidRPr="00DE0F03" w:rsidRDefault="00BD27C1" w:rsidP="00DA1ACF">
            <w:pPr>
              <w:spacing w:before="60" w:after="60" w:line="300" w:lineRule="exact"/>
              <w:jc w:val="both"/>
              <w:textDirection w:val="tbRlV"/>
              <w:rPr>
                <w:rFonts w:ascii="Simplified Arabic" w:hAnsi="Simplified Arabic"/>
                <w:b/>
                <w:bCs/>
                <w:szCs w:val="24"/>
                <w:lang w:val="ar-SA" w:eastAsia="zh-TW" w:bidi="en-GB"/>
              </w:rPr>
            </w:pPr>
            <w:r w:rsidRPr="00DE0F03">
              <w:rPr>
                <w:rFonts w:asciiTheme="majorBidi" w:hAnsiTheme="majorBidi" w:cstheme="majorBidi"/>
                <w:b/>
                <w:bCs/>
                <w:sz w:val="22"/>
                <w:szCs w:val="22"/>
                <w:rtl/>
              </w:rPr>
              <w:t>Y49</w:t>
            </w:r>
            <w:r w:rsidRPr="00DE0F03">
              <w:rPr>
                <w:rFonts w:ascii="Simplified Arabic" w:hAnsi="Simplified Arabic" w:hint="cs"/>
                <w:b/>
                <w:bCs/>
                <w:szCs w:val="24"/>
                <w:vertAlign w:val="superscript"/>
                <w:rtl/>
              </w:rPr>
              <w:t>(</w:t>
            </w:r>
            <w:r w:rsidRPr="00DE0F03">
              <w:rPr>
                <w:rStyle w:val="FootnoteReference"/>
                <w:rFonts w:ascii="Simplified Arabic" w:hAnsi="Simplified Arabic"/>
                <w:b/>
                <w:bCs/>
                <w:szCs w:val="24"/>
                <w:rtl/>
              </w:rPr>
              <w:footnoteReference w:id="2"/>
            </w:r>
            <w:r w:rsidRPr="00DE0F03">
              <w:rPr>
                <w:rFonts w:ascii="Simplified Arabic" w:hAnsi="Simplified Arabic" w:hint="cs"/>
                <w:b/>
                <w:bCs/>
                <w:szCs w:val="24"/>
                <w:vertAlign w:val="superscript"/>
                <w:rtl/>
              </w:rPr>
              <w:t>)،(</w:t>
            </w:r>
            <w:r w:rsidRPr="00DE0F03">
              <w:rPr>
                <w:rStyle w:val="FootnoteReference"/>
                <w:rFonts w:ascii="Simplified Arabic" w:hAnsi="Simplified Arabic"/>
                <w:b/>
                <w:bCs/>
                <w:szCs w:val="24"/>
                <w:rtl/>
              </w:rPr>
              <w:footnoteReference w:id="3"/>
            </w:r>
            <w:r w:rsidRPr="00DE0F03">
              <w:rPr>
                <w:rFonts w:ascii="Simplified Arabic" w:hAnsi="Simplified Arabic" w:hint="cs"/>
                <w:b/>
                <w:bCs/>
                <w:szCs w:val="24"/>
                <w:vertAlign w:val="superscript"/>
                <w:rtl/>
              </w:rPr>
              <w:t>)</w:t>
            </w:r>
          </w:p>
        </w:tc>
        <w:tc>
          <w:tcPr>
            <w:tcW w:w="7085" w:type="dxa"/>
            <w:noWrap/>
          </w:tcPr>
          <w:p w14:paraId="6A52285B" w14:textId="77777777" w:rsidR="00BD27C1" w:rsidRPr="00DE0F03" w:rsidRDefault="00BD27C1" w:rsidP="00DA1ACF">
            <w:pPr>
              <w:spacing w:before="60" w:after="60" w:line="300" w:lineRule="exact"/>
              <w:jc w:val="both"/>
              <w:textDirection w:val="tbRlV"/>
              <w:rPr>
                <w:rFonts w:ascii="Simplified Arabic" w:hAnsi="Simplified Arabic"/>
                <w:b/>
                <w:bCs/>
                <w:szCs w:val="24"/>
                <w:lang w:val="ar-SA" w:eastAsia="zh-TW" w:bidi="ar-EG"/>
              </w:rPr>
            </w:pPr>
            <w:r w:rsidRPr="00DE0F03">
              <w:rPr>
                <w:rFonts w:ascii="Simplified Arabic" w:hAnsi="Simplified Arabic"/>
                <w:b/>
                <w:bCs/>
                <w:szCs w:val="24"/>
                <w:rtl/>
              </w:rPr>
              <w:t>النفايات الكهربائية والإلكترونية</w:t>
            </w:r>
            <w:r w:rsidRPr="00DE0F03">
              <w:rPr>
                <w:rFonts w:ascii="Simplified Arabic" w:hAnsi="Simplified Arabic" w:hint="cs"/>
                <w:b/>
                <w:bCs/>
                <w:szCs w:val="24"/>
                <w:rtl/>
              </w:rPr>
              <w:t>:</w:t>
            </w:r>
          </w:p>
          <w:p w14:paraId="6CE31E5F" w14:textId="77777777" w:rsidR="00BD27C1" w:rsidRPr="00DE0F03" w:rsidRDefault="00BD27C1" w:rsidP="00BD27C1">
            <w:pPr>
              <w:numPr>
                <w:ilvl w:val="0"/>
                <w:numId w:val="1"/>
              </w:numPr>
              <w:tabs>
                <w:tab w:val="left" w:pos="425"/>
              </w:tabs>
              <w:spacing w:before="60" w:after="60" w:line="300" w:lineRule="exact"/>
              <w:ind w:left="425"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نفايات المعدات الكهربائية والإلكترونية</w:t>
            </w:r>
          </w:p>
          <w:p w14:paraId="60111141" w14:textId="77777777" w:rsidR="00BD27C1" w:rsidRPr="00DE0F03" w:rsidRDefault="00BD27C1" w:rsidP="00BD27C1">
            <w:pPr>
              <w:numPr>
                <w:ilvl w:val="0"/>
                <w:numId w:val="2"/>
              </w:numPr>
              <w:tabs>
                <w:tab w:val="left" w:pos="851"/>
              </w:tabs>
              <w:spacing w:before="60" w:after="60" w:line="300" w:lineRule="exact"/>
              <w:ind w:left="850"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التي لا تحتوي على العناصر المدرجة في المرفق الأول وغير الملوثة بها إلى حد أن تظهر النفايات خاصية من خواص مواد المرفق الثالث،</w:t>
            </w:r>
          </w:p>
          <w:p w14:paraId="09CFD670" w14:textId="77777777" w:rsidR="00BD27C1" w:rsidRPr="00DE0F03" w:rsidRDefault="00BD27C1" w:rsidP="00BD27C1">
            <w:pPr>
              <w:numPr>
                <w:ilvl w:val="0"/>
                <w:numId w:val="2"/>
              </w:numPr>
              <w:tabs>
                <w:tab w:val="left" w:pos="851"/>
              </w:tabs>
              <w:spacing w:before="60" w:after="60" w:line="300" w:lineRule="exact"/>
              <w:ind w:left="850"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التي لا يحتوي أي من المكونات (على سبيل المثال، لوحات دارات معينة، أجهزة عرض معينة) على العناصر المدرجة في المرفق الأول وغير الملوثة بها إلى حد أن المكون يظهر خاصية من خواص مواد المرفق الثالث،</w:t>
            </w:r>
          </w:p>
          <w:p w14:paraId="056248C7" w14:textId="77777777" w:rsidR="00BD27C1" w:rsidRPr="00DE0F03" w:rsidRDefault="00BD27C1" w:rsidP="00BD27C1">
            <w:pPr>
              <w:numPr>
                <w:ilvl w:val="0"/>
                <w:numId w:val="1"/>
              </w:numPr>
              <w:tabs>
                <w:tab w:val="left" w:pos="425"/>
              </w:tabs>
              <w:spacing w:before="60" w:after="60" w:line="300" w:lineRule="exact"/>
              <w:ind w:left="425" w:hanging="425"/>
              <w:jc w:val="both"/>
              <w:textDirection w:val="tbRlV"/>
              <w:rPr>
                <w:rFonts w:ascii="Simplified Arabic" w:hAnsi="Simplified Arabic"/>
                <w:szCs w:val="24"/>
              </w:rPr>
            </w:pPr>
            <w:r w:rsidRPr="00DE0F03">
              <w:rPr>
                <w:rFonts w:ascii="Simplified Arabic" w:hAnsi="Simplified Arabic"/>
                <w:szCs w:val="24"/>
                <w:rtl/>
              </w:rPr>
              <w:t>مكونات نفايات المعدات الكهربائية والإلكترونية (على سبيل المثال، لوحات دارات معينة، أجهزة عرض معينة) التي لا تحتوي على العناصر المدرجة في المرفق الأول وغير الملوثة بها إلى حد أن تظهر مكونات النفايات خاصية من خواص مواد المرفق الثالث، ما لم تكن مشمولة بقيد آخر مدرج في المرفق الثاني أو بقيد مدرج في المرفق التاسع</w:t>
            </w:r>
          </w:p>
          <w:p w14:paraId="268EB5B7" w14:textId="77777777" w:rsidR="00BD27C1" w:rsidRPr="00DE0F03" w:rsidRDefault="00BD27C1" w:rsidP="00BD27C1">
            <w:pPr>
              <w:numPr>
                <w:ilvl w:val="0"/>
                <w:numId w:val="1"/>
              </w:numPr>
              <w:tabs>
                <w:tab w:val="left" w:pos="425"/>
              </w:tabs>
              <w:spacing w:before="60" w:after="60" w:line="300" w:lineRule="exact"/>
              <w:ind w:left="425" w:hanging="425"/>
              <w:jc w:val="both"/>
              <w:textDirection w:val="tbRlV"/>
              <w:rPr>
                <w:rFonts w:ascii="Simplified Arabic" w:hAnsi="Simplified Arabic"/>
                <w:i/>
                <w:iCs/>
                <w:szCs w:val="24"/>
                <w:lang w:val="ar-SA" w:eastAsia="zh-TW" w:bidi="en-GB"/>
              </w:rPr>
            </w:pPr>
            <w:r w:rsidRPr="00DE0F03">
              <w:rPr>
                <w:rFonts w:ascii="Simplified Arabic" w:hAnsi="Simplified Arabic"/>
                <w:szCs w:val="24"/>
                <w:rtl/>
              </w:rPr>
              <w:t>النفايات الناشئة عن معالجة نفايات المعدات الكهربائية والإلكترونية أو مكونات نفايات المعدات الكهربائية والإلكترونية (مثل الكسور الناتجة عن التمزيق أو التفكيك)، والتي لا تحتوي على العناصر المدرجة في المرفق الأول وغير الملوثة بها إلى حد أن تظهر النفايات خاصية من خواص مواد المرفق الثالث، ما لم تكن مشمولة بقيد آخر مدرج في المرفق الثاني أو بقيد مدرج في المرفق التاسع</w:t>
            </w:r>
            <w:r w:rsidRPr="00DE0F03">
              <w:rPr>
                <w:rFonts w:ascii="Simplified Arabic" w:hAnsi="Simplified Arabic" w:hint="cs"/>
                <w:szCs w:val="24"/>
                <w:rtl/>
              </w:rPr>
              <w:t>.</w:t>
            </w:r>
          </w:p>
        </w:tc>
      </w:tr>
    </w:tbl>
    <w:p w14:paraId="1A4845F6" w14:textId="77777777" w:rsidR="00BD27C1" w:rsidRPr="00DE0F03" w:rsidRDefault="00BD27C1" w:rsidP="00BD27C1">
      <w:pPr>
        <w:pStyle w:val="ListParagraph"/>
        <w:numPr>
          <w:ilvl w:val="0"/>
          <w:numId w:val="4"/>
        </w:numPr>
        <w:tabs>
          <w:tab w:val="left" w:pos="2552"/>
        </w:tabs>
        <w:bidi/>
        <w:spacing w:before="120"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يقرر أيضاً</w:t>
      </w:r>
      <w:r w:rsidRPr="00DE0F03">
        <w:rPr>
          <w:rFonts w:ascii="Simplified Arabic" w:eastAsia="Times New Roman" w:hAnsi="Simplified Arabic" w:cs="Simplified Arabic"/>
          <w:sz w:val="24"/>
          <w:szCs w:val="24"/>
          <w:rtl/>
          <w:lang w:val="en-GB"/>
        </w:rPr>
        <w:t xml:space="preserve"> تعديل المرفق الثامن لاتفاقية بازل عن طريق إضافة قيد جديد هو </w:t>
      </w:r>
      <w:r w:rsidRPr="00DE0F03">
        <w:rPr>
          <w:rFonts w:asciiTheme="majorBidi" w:eastAsia="Times New Roman" w:hAnsiTheme="majorBidi" w:cstheme="majorBidi"/>
          <w:rtl/>
          <w:lang w:val="en-GB" w:eastAsia="en-GB"/>
        </w:rPr>
        <w:t>A1181</w:t>
      </w:r>
      <w:r w:rsidRPr="00DE0F03">
        <w:rPr>
          <w:rFonts w:ascii="Simplified Arabic" w:eastAsia="Times New Roman" w:hAnsi="Simplified Arabic" w:cs="Simplified Arabic"/>
          <w:sz w:val="24"/>
          <w:szCs w:val="24"/>
          <w:rtl/>
          <w:lang w:val="en-GB"/>
        </w:rPr>
        <w:t xml:space="preserve"> على النحو التالي:</w:t>
      </w:r>
    </w:p>
    <w:tbl>
      <w:tblPr>
        <w:bidiVisual/>
        <w:tblW w:w="8363"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278"/>
        <w:gridCol w:w="7085"/>
      </w:tblGrid>
      <w:tr w:rsidR="00BD27C1" w:rsidRPr="00DE0F03" w14:paraId="1BD44A54" w14:textId="77777777" w:rsidTr="00DA1ACF">
        <w:trPr>
          <w:trHeight w:val="57"/>
        </w:trPr>
        <w:tc>
          <w:tcPr>
            <w:tcW w:w="1278" w:type="dxa"/>
            <w:noWrap/>
          </w:tcPr>
          <w:p w14:paraId="61B0BDF0" w14:textId="77777777" w:rsidR="00BD27C1" w:rsidRPr="00DE0F03" w:rsidRDefault="00BD27C1" w:rsidP="00DA1ACF">
            <w:pPr>
              <w:spacing w:before="80" w:after="80" w:line="320" w:lineRule="exact"/>
              <w:jc w:val="both"/>
              <w:textDirection w:val="tbRlV"/>
              <w:rPr>
                <w:rFonts w:ascii="Simplified Arabic" w:hAnsi="Simplified Arabic"/>
                <w:b/>
                <w:bCs/>
                <w:szCs w:val="24"/>
                <w:lang w:val="ar-SA" w:eastAsia="zh-TW" w:bidi="en-GB"/>
              </w:rPr>
            </w:pPr>
            <w:r w:rsidRPr="00DE0F03">
              <w:rPr>
                <w:rFonts w:asciiTheme="majorBidi" w:hAnsiTheme="majorBidi" w:cstheme="majorBidi"/>
                <w:b/>
                <w:bCs/>
                <w:sz w:val="22"/>
                <w:szCs w:val="22"/>
                <w:rtl/>
              </w:rPr>
              <w:t>A1181</w:t>
            </w:r>
            <w:bookmarkStart w:id="0" w:name="_Hlk106115366"/>
            <w:bookmarkEnd w:id="0"/>
            <w:r w:rsidRPr="00DE0F03">
              <w:rPr>
                <w:rFonts w:ascii="Simplified Arabic" w:hAnsi="Simplified Arabic" w:hint="cs"/>
                <w:b/>
                <w:bCs/>
                <w:szCs w:val="24"/>
                <w:vertAlign w:val="superscript"/>
                <w:rtl/>
              </w:rPr>
              <w:t>(</w:t>
            </w:r>
            <w:r w:rsidRPr="00DE0F03">
              <w:rPr>
                <w:rStyle w:val="FootnoteReference"/>
                <w:rFonts w:ascii="Simplified Arabic" w:hAnsi="Simplified Arabic"/>
                <w:b/>
                <w:bCs/>
                <w:szCs w:val="24"/>
                <w:rtl/>
              </w:rPr>
              <w:footnoteReference w:id="4"/>
            </w:r>
            <w:r w:rsidRPr="00DE0F03">
              <w:rPr>
                <w:rFonts w:ascii="Simplified Arabic" w:hAnsi="Simplified Arabic" w:hint="cs"/>
                <w:b/>
                <w:bCs/>
                <w:szCs w:val="24"/>
                <w:vertAlign w:val="superscript"/>
                <w:rtl/>
              </w:rPr>
              <w:t>)</w:t>
            </w:r>
          </w:p>
        </w:tc>
        <w:tc>
          <w:tcPr>
            <w:tcW w:w="7085" w:type="dxa"/>
            <w:noWrap/>
          </w:tcPr>
          <w:p w14:paraId="54739CA4" w14:textId="77777777" w:rsidR="00BD27C1" w:rsidRPr="00DE0F03" w:rsidRDefault="00BD27C1" w:rsidP="00DA1ACF">
            <w:pPr>
              <w:spacing w:before="80" w:after="80" w:line="320" w:lineRule="exact"/>
              <w:jc w:val="both"/>
              <w:textDirection w:val="tbRlV"/>
              <w:rPr>
                <w:rFonts w:ascii="Simplified Arabic" w:hAnsi="Simplified Arabic"/>
                <w:b/>
                <w:bCs/>
                <w:szCs w:val="24"/>
                <w:rtl/>
                <w:lang w:val="ar-SA" w:eastAsia="zh-TW" w:bidi="ar-EG"/>
              </w:rPr>
            </w:pPr>
            <w:r w:rsidRPr="00DE0F03">
              <w:rPr>
                <w:rFonts w:ascii="Simplified Arabic" w:hAnsi="Simplified Arabic"/>
                <w:b/>
                <w:bCs/>
                <w:szCs w:val="24"/>
                <w:rtl/>
              </w:rPr>
              <w:t xml:space="preserve">النفايات الكهربائية والإلكترونية (لاحظ القيد ذي الصلة </w:t>
            </w:r>
            <w:r w:rsidRPr="00DE0F03">
              <w:rPr>
                <w:rFonts w:asciiTheme="majorBidi" w:hAnsiTheme="majorBidi" w:cstheme="majorBidi"/>
                <w:b/>
                <w:bCs/>
                <w:sz w:val="22"/>
                <w:szCs w:val="22"/>
                <w:rtl/>
              </w:rPr>
              <w:t>Y49</w:t>
            </w:r>
            <w:r w:rsidRPr="00DE0F03">
              <w:rPr>
                <w:rFonts w:ascii="Simplified Arabic" w:hAnsi="Simplified Arabic"/>
                <w:b/>
                <w:bCs/>
                <w:szCs w:val="24"/>
                <w:rtl/>
              </w:rPr>
              <w:t xml:space="preserve"> في المرفق الثاني)</w:t>
            </w:r>
            <w:r w:rsidRPr="00DE0F03">
              <w:rPr>
                <w:rFonts w:ascii="Simplified Arabic" w:hAnsi="Simplified Arabic" w:hint="cs"/>
                <w:b/>
                <w:bCs/>
                <w:szCs w:val="24"/>
                <w:vertAlign w:val="superscript"/>
                <w:rtl/>
              </w:rPr>
              <w:t>(</w:t>
            </w:r>
            <w:r w:rsidRPr="00DE0F03">
              <w:rPr>
                <w:rStyle w:val="FootnoteReference"/>
                <w:rFonts w:ascii="Simplified Arabic" w:hAnsi="Simplified Arabic"/>
                <w:b/>
                <w:bCs/>
                <w:szCs w:val="24"/>
                <w:rtl/>
              </w:rPr>
              <w:footnoteReference w:id="5"/>
            </w:r>
            <w:r w:rsidRPr="00DE0F03">
              <w:rPr>
                <w:rFonts w:ascii="Simplified Arabic" w:hAnsi="Simplified Arabic" w:hint="cs"/>
                <w:b/>
                <w:bCs/>
                <w:szCs w:val="24"/>
                <w:vertAlign w:val="superscript"/>
                <w:rtl/>
              </w:rPr>
              <w:t>)</w:t>
            </w:r>
            <w:r w:rsidRPr="00DE0F03">
              <w:rPr>
                <w:rFonts w:ascii="Simplified Arabic" w:hAnsi="Simplified Arabic" w:hint="cs"/>
                <w:b/>
                <w:bCs/>
                <w:szCs w:val="24"/>
                <w:rtl/>
                <w:lang w:bidi="ar-EG"/>
              </w:rPr>
              <w:t>:</w:t>
            </w:r>
          </w:p>
          <w:p w14:paraId="724D3477" w14:textId="77777777" w:rsidR="00BD27C1" w:rsidRPr="00DE0F03" w:rsidRDefault="00BD27C1" w:rsidP="00BD27C1">
            <w:pPr>
              <w:numPr>
                <w:ilvl w:val="0"/>
                <w:numId w:val="1"/>
              </w:numPr>
              <w:tabs>
                <w:tab w:val="left" w:pos="425"/>
              </w:tabs>
              <w:spacing w:before="80" w:after="80" w:line="320" w:lineRule="exact"/>
              <w:ind w:left="425" w:hanging="425"/>
              <w:jc w:val="both"/>
              <w:textDirection w:val="tbRlV"/>
              <w:rPr>
                <w:rFonts w:ascii="Simplified Arabic" w:hAnsi="Simplified Arabic"/>
                <w:szCs w:val="24"/>
              </w:rPr>
            </w:pPr>
            <w:r w:rsidRPr="00DE0F03">
              <w:rPr>
                <w:rFonts w:ascii="Simplified Arabic" w:hAnsi="Simplified Arabic"/>
                <w:szCs w:val="24"/>
                <w:rtl/>
              </w:rPr>
              <w:t>نفايات المعدات الكهربائية والإلكترونية</w:t>
            </w:r>
          </w:p>
          <w:p w14:paraId="16E2A0DC" w14:textId="77777777" w:rsidR="00BD27C1" w:rsidRPr="00DE0F03" w:rsidRDefault="00BD27C1" w:rsidP="00BD27C1">
            <w:pPr>
              <w:numPr>
                <w:ilvl w:val="0"/>
                <w:numId w:val="2"/>
              </w:numPr>
              <w:tabs>
                <w:tab w:val="left" w:pos="851"/>
              </w:tabs>
              <w:spacing w:before="80" w:after="80" w:line="320" w:lineRule="exact"/>
              <w:ind w:left="850" w:hanging="425"/>
              <w:jc w:val="both"/>
              <w:textDirection w:val="tbRlV"/>
              <w:rPr>
                <w:rFonts w:ascii="Simplified Arabic" w:hAnsi="Simplified Arabic"/>
                <w:szCs w:val="24"/>
              </w:rPr>
            </w:pPr>
            <w:r w:rsidRPr="00DE0F03">
              <w:rPr>
                <w:rFonts w:ascii="Simplified Arabic" w:hAnsi="Simplified Arabic"/>
                <w:szCs w:val="24"/>
                <w:rtl/>
              </w:rPr>
              <w:lastRenderedPageBreak/>
              <w:t>التي تحتوي على الكادميوم أو الرصاص أو الزئبق أو مركبات الهالوجين العضوية أو غيرها من العناصر المدرجة في المرفق الأول أو الملوثة بها إلى حد أن تظهر النفايات خاصية من خواص مواد المرفق الثالث، أو</w:t>
            </w:r>
          </w:p>
          <w:p w14:paraId="0F41D37E" w14:textId="77777777" w:rsidR="00BD27C1" w:rsidRPr="00DE0F03" w:rsidRDefault="00BD27C1" w:rsidP="00BD27C1">
            <w:pPr>
              <w:numPr>
                <w:ilvl w:val="0"/>
                <w:numId w:val="2"/>
              </w:numPr>
              <w:tabs>
                <w:tab w:val="left" w:pos="851"/>
              </w:tabs>
              <w:spacing w:before="80" w:after="80" w:line="320" w:lineRule="exact"/>
              <w:ind w:left="850" w:hanging="425"/>
              <w:jc w:val="both"/>
              <w:textDirection w:val="tbRlV"/>
              <w:rPr>
                <w:rFonts w:ascii="Simplified Arabic" w:hAnsi="Simplified Arabic"/>
                <w:szCs w:val="24"/>
              </w:rPr>
            </w:pPr>
            <w:r w:rsidRPr="00DE0F03">
              <w:rPr>
                <w:rFonts w:ascii="Simplified Arabic" w:hAnsi="Simplified Arabic"/>
                <w:szCs w:val="24"/>
                <w:rtl/>
              </w:rPr>
              <w:t>التي تحتوي على مكون يحتوي على العناصر المدرجة في المرفق الأول أو الملوثة بها إلى حد أن يظهر المكون خاصية من خواص مواد المرفق الثالث، بما في ذلك على سبيل المثال لا الحصر أي من المكونات التالية:</w:t>
            </w:r>
          </w:p>
          <w:p w14:paraId="6B5B4BC2" w14:textId="77777777" w:rsidR="00BD27C1" w:rsidRPr="00DE0F03" w:rsidRDefault="00BD27C1" w:rsidP="00BD27C1">
            <w:pPr>
              <w:numPr>
                <w:ilvl w:val="0"/>
                <w:numId w:val="3"/>
              </w:numPr>
              <w:tabs>
                <w:tab w:val="left" w:pos="1276"/>
              </w:tabs>
              <w:spacing w:before="80" w:after="80" w:line="320" w:lineRule="exact"/>
              <w:ind w:left="1276"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زجاج من أنابيب الأشعة الكاثودية المدرجة في القائمة ألف</w:t>
            </w:r>
          </w:p>
          <w:p w14:paraId="28763A27" w14:textId="77777777" w:rsidR="00BD27C1" w:rsidRPr="00DE0F03" w:rsidRDefault="00BD27C1" w:rsidP="00BD27C1">
            <w:pPr>
              <w:numPr>
                <w:ilvl w:val="0"/>
                <w:numId w:val="3"/>
              </w:numPr>
              <w:tabs>
                <w:tab w:val="left" w:pos="1276"/>
              </w:tabs>
              <w:spacing w:before="80" w:after="80" w:line="320" w:lineRule="exact"/>
              <w:ind w:left="1276"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بطارية مدرجة في القائمة ألف</w:t>
            </w:r>
          </w:p>
          <w:p w14:paraId="5AA1BA91" w14:textId="77777777" w:rsidR="00BD27C1" w:rsidRPr="00DE0F03" w:rsidRDefault="00BD27C1" w:rsidP="00BD27C1">
            <w:pPr>
              <w:numPr>
                <w:ilvl w:val="0"/>
                <w:numId w:val="3"/>
              </w:numPr>
              <w:tabs>
                <w:tab w:val="left" w:pos="1276"/>
              </w:tabs>
              <w:spacing w:before="80" w:after="80" w:line="320" w:lineRule="exact"/>
              <w:ind w:left="1276"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مفتاح أو مصباح أو أنبوب فلوري أو إضاءة خلفية لجهاز عرض تحتوي على الزئبق</w:t>
            </w:r>
          </w:p>
          <w:p w14:paraId="097F22B2" w14:textId="77777777" w:rsidR="00BD27C1" w:rsidRPr="00DE0F03" w:rsidRDefault="00BD27C1" w:rsidP="00BD27C1">
            <w:pPr>
              <w:numPr>
                <w:ilvl w:val="0"/>
                <w:numId w:val="3"/>
              </w:numPr>
              <w:tabs>
                <w:tab w:val="left" w:pos="1276"/>
              </w:tabs>
              <w:spacing w:before="80" w:after="80" w:line="320" w:lineRule="exact"/>
              <w:ind w:left="1276"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مكثف يحتوي على المركبات الثنائية الفينيل المتعددة الكلور</w:t>
            </w:r>
          </w:p>
          <w:p w14:paraId="6D62CE38" w14:textId="77777777" w:rsidR="00BD27C1" w:rsidRPr="00DE0F03" w:rsidRDefault="00BD27C1" w:rsidP="00BD27C1">
            <w:pPr>
              <w:numPr>
                <w:ilvl w:val="0"/>
                <w:numId w:val="3"/>
              </w:numPr>
              <w:tabs>
                <w:tab w:val="left" w:pos="1276"/>
              </w:tabs>
              <w:spacing w:before="80" w:after="80" w:line="320" w:lineRule="exact"/>
              <w:ind w:left="1276"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مكون يحتوي على الأسبستوس</w:t>
            </w:r>
          </w:p>
          <w:p w14:paraId="028E2618" w14:textId="77777777" w:rsidR="00BD27C1" w:rsidRPr="00DE0F03" w:rsidRDefault="00BD27C1" w:rsidP="00BD27C1">
            <w:pPr>
              <w:numPr>
                <w:ilvl w:val="0"/>
                <w:numId w:val="3"/>
              </w:numPr>
              <w:tabs>
                <w:tab w:val="left" w:pos="1276"/>
              </w:tabs>
              <w:spacing w:before="80" w:after="80" w:line="320" w:lineRule="exact"/>
              <w:ind w:left="1276"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لوحات دارات معينة</w:t>
            </w:r>
          </w:p>
          <w:p w14:paraId="225821FD" w14:textId="77777777" w:rsidR="00BD27C1" w:rsidRPr="00DE0F03" w:rsidRDefault="00BD27C1" w:rsidP="00BD27C1">
            <w:pPr>
              <w:numPr>
                <w:ilvl w:val="0"/>
                <w:numId w:val="3"/>
              </w:numPr>
              <w:tabs>
                <w:tab w:val="left" w:pos="1276"/>
              </w:tabs>
              <w:spacing w:before="80" w:after="80" w:line="320" w:lineRule="exact"/>
              <w:ind w:left="1276"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أجهزة عرض معينة</w:t>
            </w:r>
          </w:p>
          <w:p w14:paraId="2A1CB464" w14:textId="77777777" w:rsidR="00BD27C1" w:rsidRPr="00DE0F03" w:rsidRDefault="00BD27C1" w:rsidP="00BD27C1">
            <w:pPr>
              <w:numPr>
                <w:ilvl w:val="0"/>
                <w:numId w:val="3"/>
              </w:numPr>
              <w:tabs>
                <w:tab w:val="left" w:pos="1276"/>
              </w:tabs>
              <w:spacing w:before="80" w:after="80" w:line="320" w:lineRule="exact"/>
              <w:ind w:left="1276"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بعض المكونات البلاستيكية التي تحتوي على مثبطات اللهب المبرومة</w:t>
            </w:r>
          </w:p>
          <w:p w14:paraId="2A4123C4" w14:textId="77777777" w:rsidR="00BD27C1" w:rsidRPr="00DE0F03" w:rsidRDefault="00BD27C1" w:rsidP="00BD27C1">
            <w:pPr>
              <w:numPr>
                <w:ilvl w:val="0"/>
                <w:numId w:val="1"/>
              </w:numPr>
              <w:tabs>
                <w:tab w:val="left" w:pos="425"/>
              </w:tabs>
              <w:spacing w:before="80" w:after="80" w:line="320" w:lineRule="exact"/>
              <w:ind w:left="425" w:hanging="425"/>
              <w:jc w:val="both"/>
              <w:textDirection w:val="tbRlV"/>
              <w:rPr>
                <w:rFonts w:ascii="Simplified Arabic" w:hAnsi="Simplified Arabic"/>
                <w:szCs w:val="24"/>
              </w:rPr>
            </w:pPr>
            <w:r w:rsidRPr="00DE0F03">
              <w:rPr>
                <w:rFonts w:ascii="Simplified Arabic" w:hAnsi="Simplified Arabic"/>
                <w:szCs w:val="24"/>
                <w:rtl/>
              </w:rPr>
              <w:t>مكونات نفايات المعدات الكهربائية والإلكترونية التي تحتوي على العناصر المدرجة في المرفق الأول أو الملوثة بها إلى حد أن تظهر مكونات النفايات خاصية من خواص مواد المرفق الثالث، ما لم تكن مشمولة بقيد آخر مدرج في القائمة ألف</w:t>
            </w:r>
          </w:p>
          <w:p w14:paraId="2005DBF7" w14:textId="77777777" w:rsidR="00BD27C1" w:rsidRPr="00DE0F03" w:rsidRDefault="00BD27C1" w:rsidP="00BD27C1">
            <w:pPr>
              <w:numPr>
                <w:ilvl w:val="0"/>
                <w:numId w:val="1"/>
              </w:numPr>
              <w:tabs>
                <w:tab w:val="left" w:pos="425"/>
              </w:tabs>
              <w:spacing w:before="80" w:after="80" w:line="320" w:lineRule="exact"/>
              <w:ind w:left="425" w:hanging="425"/>
              <w:jc w:val="both"/>
              <w:textDirection w:val="tbRlV"/>
              <w:rPr>
                <w:rFonts w:ascii="Simplified Arabic" w:hAnsi="Simplified Arabic"/>
                <w:szCs w:val="24"/>
                <w:lang w:val="ar-SA" w:eastAsia="zh-TW" w:bidi="en-GB"/>
              </w:rPr>
            </w:pPr>
            <w:r w:rsidRPr="00DE0F03">
              <w:rPr>
                <w:rFonts w:ascii="Simplified Arabic" w:hAnsi="Simplified Arabic"/>
                <w:szCs w:val="24"/>
                <w:rtl/>
              </w:rPr>
              <w:t>النفايات الناشئة عن معالجة نفايات المعدات الكهربائية والإلكترونية أو مكونات نفايات المعدات الكهربائية والإلكترونية، والتي تحتوي على العناصر المدرجة في المرفق الأول أو الملوثة بها إلى حد أن تظهر النفايات خاصية من خواص مواد المرفق الثالث (على سبيل المثال، الكسور الناشئة عن التمزيق أو التفكيك)، ما لم تكن مشمولة بقيد آخر مدرج في القائمة ألف</w:t>
            </w:r>
          </w:p>
        </w:tc>
      </w:tr>
    </w:tbl>
    <w:p w14:paraId="3A3449D0" w14:textId="77777777" w:rsidR="00BD27C1" w:rsidRPr="00DE0F03" w:rsidRDefault="00BD27C1" w:rsidP="00BD27C1">
      <w:pPr>
        <w:pStyle w:val="ListParagraph"/>
        <w:numPr>
          <w:ilvl w:val="0"/>
          <w:numId w:val="4"/>
        </w:numPr>
        <w:tabs>
          <w:tab w:val="left" w:pos="2552"/>
        </w:tabs>
        <w:bidi/>
        <w:spacing w:before="120"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يقرر كذلك</w:t>
      </w:r>
      <w:r w:rsidRPr="00DE0F03">
        <w:rPr>
          <w:rFonts w:ascii="Simplified Arabic" w:eastAsia="Times New Roman" w:hAnsi="Simplified Arabic" w:cs="Simplified Arabic"/>
          <w:sz w:val="24"/>
          <w:szCs w:val="24"/>
          <w:rtl/>
          <w:lang w:val="en-GB"/>
        </w:rPr>
        <w:t xml:space="preserve"> إضافة حاشية للقيد </w:t>
      </w:r>
      <w:r w:rsidRPr="00DE0F03">
        <w:rPr>
          <w:rFonts w:asciiTheme="majorBidi" w:eastAsia="Times New Roman" w:hAnsiTheme="majorBidi" w:cstheme="majorBidi"/>
          <w:rtl/>
          <w:lang w:val="en-GB" w:eastAsia="en-GB"/>
        </w:rPr>
        <w:t>A1180</w:t>
      </w:r>
      <w:r w:rsidRPr="00DE0F03">
        <w:rPr>
          <w:rFonts w:ascii="Simplified Arabic" w:eastAsia="Times New Roman" w:hAnsi="Simplified Arabic" w:cs="Simplified Arabic"/>
          <w:sz w:val="24"/>
          <w:szCs w:val="24"/>
          <w:rtl/>
          <w:lang w:val="en-GB"/>
        </w:rPr>
        <w:t xml:space="preserve"> في المرفق الثامن على النحو التالي: ”يبقى القيد </w:t>
      </w:r>
      <w:r w:rsidRPr="00DE0F03">
        <w:rPr>
          <w:rFonts w:asciiTheme="majorBidi" w:eastAsia="Times New Roman" w:hAnsiTheme="majorBidi" w:cstheme="majorBidi"/>
          <w:rtl/>
          <w:lang w:val="en-GB" w:eastAsia="en-GB"/>
        </w:rPr>
        <w:t>A1180</w:t>
      </w:r>
      <w:r w:rsidRPr="00DE0F03">
        <w:rPr>
          <w:rFonts w:ascii="Simplified Arabic" w:eastAsia="Times New Roman" w:hAnsi="Simplified Arabic" w:cs="Simplified Arabic"/>
          <w:sz w:val="24"/>
          <w:szCs w:val="24"/>
          <w:rtl/>
          <w:lang w:val="en-GB"/>
        </w:rPr>
        <w:t xml:space="preserve"> نافذاً حتى 31 كانون الأول/ديسمبر 2024</w:t>
      </w:r>
      <w:r w:rsidRPr="00DE0F03">
        <w:rPr>
          <w:rFonts w:ascii="Simplified Arabic" w:eastAsia="Times New Roman" w:hAnsi="Simplified Arabic" w:cs="Simplified Arabic"/>
          <w:sz w:val="24"/>
          <w:szCs w:val="24"/>
          <w:lang w:val="en-GB"/>
        </w:rPr>
        <w:t>“</w:t>
      </w:r>
      <w:r w:rsidRPr="00DE0F03">
        <w:rPr>
          <w:rFonts w:ascii="Simplified Arabic" w:eastAsia="Times New Roman" w:hAnsi="Simplified Arabic" w:cs="Simplified Arabic"/>
          <w:sz w:val="24"/>
          <w:szCs w:val="24"/>
          <w:rtl/>
          <w:lang w:val="en-GB"/>
        </w:rPr>
        <w:t>؛</w:t>
      </w:r>
    </w:p>
    <w:p w14:paraId="03008D7A" w14:textId="77777777" w:rsidR="00BD27C1" w:rsidRPr="00DE0F03" w:rsidRDefault="00BD27C1" w:rsidP="00BD27C1">
      <w:pPr>
        <w:pStyle w:val="ListParagraph"/>
        <w:numPr>
          <w:ilvl w:val="0"/>
          <w:numId w:val="4"/>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يقرر</w:t>
      </w:r>
      <w:r w:rsidRPr="00DE0F03">
        <w:rPr>
          <w:rFonts w:ascii="Simplified Arabic" w:eastAsia="Times New Roman" w:hAnsi="Simplified Arabic" w:cs="Simplified Arabic"/>
          <w:sz w:val="24"/>
          <w:szCs w:val="24"/>
          <w:rtl/>
          <w:lang w:val="en-GB"/>
        </w:rPr>
        <w:t xml:space="preserve"> حذف القيدين </w:t>
      </w:r>
      <w:r w:rsidRPr="00DE0F03">
        <w:rPr>
          <w:rFonts w:asciiTheme="majorBidi" w:eastAsia="Times New Roman" w:hAnsiTheme="majorBidi" w:cstheme="majorBidi"/>
          <w:rtl/>
          <w:lang w:val="en-GB" w:eastAsia="en-GB"/>
        </w:rPr>
        <w:t>B1110</w:t>
      </w:r>
      <w:r w:rsidRPr="00DE0F03">
        <w:rPr>
          <w:rFonts w:ascii="Simplified Arabic" w:eastAsia="Times New Roman" w:hAnsi="Simplified Arabic" w:cs="Simplified Arabic"/>
          <w:sz w:val="24"/>
          <w:szCs w:val="24"/>
          <w:rtl/>
          <w:lang w:val="en-GB"/>
        </w:rPr>
        <w:t xml:space="preserve"> و</w:t>
      </w:r>
      <w:r w:rsidRPr="00DE0F03">
        <w:rPr>
          <w:rFonts w:asciiTheme="majorBidi" w:eastAsia="Times New Roman" w:hAnsiTheme="majorBidi" w:cstheme="majorBidi"/>
          <w:rtl/>
          <w:lang w:val="en-GB" w:eastAsia="en-GB"/>
        </w:rPr>
        <w:t>B4030</w:t>
      </w:r>
      <w:r w:rsidRPr="00DE0F03">
        <w:rPr>
          <w:rFonts w:ascii="Simplified Arabic" w:eastAsia="Times New Roman" w:hAnsi="Simplified Arabic" w:cs="Simplified Arabic"/>
          <w:sz w:val="24"/>
          <w:szCs w:val="24"/>
          <w:rtl/>
          <w:lang w:val="en-GB"/>
        </w:rPr>
        <w:t xml:space="preserve"> المدرجين في المرفق التاسع لاتفاقية بازل؛</w:t>
      </w:r>
    </w:p>
    <w:p w14:paraId="47403DCA" w14:textId="77777777" w:rsidR="00BD27C1" w:rsidRPr="00DE0F03" w:rsidRDefault="00BD27C1" w:rsidP="00BD27C1">
      <w:pPr>
        <w:pStyle w:val="ListParagraph"/>
        <w:numPr>
          <w:ilvl w:val="0"/>
          <w:numId w:val="4"/>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الوديع إبلاغ جميع الأطراف باعتماد التعديلات المنصوص عليها في هذا المقرر في 30 حزيران/يونيه 2024 حتى تصبح التعديلات نافذة في 1 كانون الثاني/يناير 2025 عملاً بالفقرتين الفرعيتين (ب) و(ج) من الفقرة 2 من المادة 18 من الاتفاقية.</w:t>
      </w:r>
    </w:p>
    <w:p w14:paraId="59870BA7" w14:textId="729E8727" w:rsidR="00F935A6" w:rsidRPr="00BD27C1" w:rsidRDefault="00F935A6" w:rsidP="00BD27C1">
      <w:pPr>
        <w:pStyle w:val="Normal-pool"/>
        <w:rPr>
          <w:rFonts w:ascii="Simplified Arabic" w:hAnsi="Simplified Arabic" w:cs="Simplified Arabic"/>
          <w:sz w:val="24"/>
          <w:szCs w:val="24"/>
        </w:rPr>
      </w:pPr>
    </w:p>
    <w:sectPr w:rsidR="00F935A6" w:rsidRPr="00BD27C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E7DAE" w14:textId="77777777" w:rsidR="00B267A1" w:rsidRDefault="00B267A1" w:rsidP="00BD27C1">
      <w:r>
        <w:separator/>
      </w:r>
    </w:p>
  </w:endnote>
  <w:endnote w:type="continuationSeparator" w:id="0">
    <w:p w14:paraId="51EFCE70" w14:textId="77777777" w:rsidR="00B267A1" w:rsidRDefault="00B267A1"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1BF2C" w14:textId="77777777" w:rsidR="00B267A1" w:rsidRDefault="00B267A1" w:rsidP="00BD27C1">
      <w:r>
        <w:separator/>
      </w:r>
    </w:p>
  </w:footnote>
  <w:footnote w:type="continuationSeparator" w:id="0">
    <w:p w14:paraId="666A7461" w14:textId="77777777" w:rsidR="00B267A1" w:rsidRDefault="00B267A1" w:rsidP="00BD27C1">
      <w:r>
        <w:continuationSeparator/>
      </w:r>
    </w:p>
  </w:footnote>
  <w:footnote w:id="1">
    <w:p w14:paraId="3F6E56EE" w14:textId="77777777" w:rsidR="00BD27C1" w:rsidRPr="00A32BDD" w:rsidRDefault="00BD27C1" w:rsidP="00BD27C1">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UNEP/CHW.15/13/Add.2</w:t>
      </w:r>
      <w:r w:rsidRPr="00A32BDD">
        <w:rPr>
          <w:rFonts w:ascii="Simplified Arabic" w:hAnsi="Simplified Arabic" w:hint="cs"/>
          <w:b/>
          <w:rtl/>
        </w:rPr>
        <w:t>، المرفق.</w:t>
      </w:r>
    </w:p>
  </w:footnote>
  <w:footnote w:id="2">
    <w:p w14:paraId="0709B438" w14:textId="77777777" w:rsidR="00BD27C1" w:rsidRPr="00A32BDD" w:rsidRDefault="00BD27C1" w:rsidP="00BD27C1">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Fonts w:ascii="Simplified Arabic" w:eastAsia="Arial" w:hAnsi="Simplified Arabic" w:hint="cs"/>
          <w:b/>
          <w:rtl/>
          <w:lang w:val="en-GB"/>
        </w:rPr>
        <w:t>يصبح هذا القيد نافذاً اعتباراً من 1 كانون الثاني/يناير 2025.</w:t>
      </w:r>
    </w:p>
  </w:footnote>
  <w:footnote w:id="3">
    <w:p w14:paraId="1A536DF6" w14:textId="77777777" w:rsidR="00BD27C1" w:rsidRPr="00A32BDD" w:rsidRDefault="00BD27C1" w:rsidP="00BD27C1">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Fonts w:ascii="Simplified Arabic" w:eastAsia="Arial" w:hAnsi="Simplified Arabic" w:hint="cs"/>
          <w:b/>
          <w:rtl/>
          <w:lang w:val="en-GB"/>
        </w:rPr>
        <w:t xml:space="preserve">لاحظ القيد ذي الصلة في القائمة ألف </w:t>
      </w:r>
      <w:r w:rsidRPr="00A32BDD">
        <w:rPr>
          <w:rStyle w:val="Hyperlink"/>
          <w:rFonts w:asciiTheme="majorBidi" w:hAnsiTheme="majorBidi" w:cstheme="majorBidi"/>
          <w:sz w:val="18"/>
          <w:szCs w:val="18"/>
          <w:rtl/>
        </w:rPr>
        <w:t>A1181</w:t>
      </w:r>
      <w:r w:rsidRPr="00A32BDD">
        <w:rPr>
          <w:rFonts w:ascii="Simplified Arabic" w:eastAsia="Arial" w:hAnsi="Simplified Arabic" w:hint="cs"/>
          <w:b/>
          <w:rtl/>
          <w:lang w:val="en-GB"/>
        </w:rPr>
        <w:t xml:space="preserve"> في المرفق الثامن.</w:t>
      </w:r>
    </w:p>
  </w:footnote>
  <w:footnote w:id="4">
    <w:p w14:paraId="0DAE30E4" w14:textId="77777777" w:rsidR="00BD27C1" w:rsidRPr="00A32BDD" w:rsidRDefault="00BD27C1" w:rsidP="00BD27C1">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Fonts w:ascii="Simplified Arabic" w:hAnsi="Simplified Arabic" w:hint="cs"/>
          <w:b/>
          <w:rtl/>
        </w:rPr>
        <w:t>يصبح هذا القيد نافذاً اعتباراً من 1 كانون الثاني/يناير 2025.</w:t>
      </w:r>
    </w:p>
  </w:footnote>
  <w:footnote w:id="5">
    <w:p w14:paraId="6E9648FB" w14:textId="77777777" w:rsidR="00BD27C1" w:rsidRPr="00A32BDD" w:rsidRDefault="00BD27C1" w:rsidP="00BD27C1">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Fonts w:ascii="Simplified Arabic" w:hAnsi="Simplified Arabic" w:hint="cs"/>
          <w:b/>
          <w:rtl/>
        </w:rPr>
        <w:t>مستوى تركيزات المركبات الثنائية الفينيل المتعددة الكلور والمركبات الثنائية الفينيل المتعددة البروم قدره 50 ملغم/كغم أو أكثر في المعدات، في عنصر ما أو في النفايات الناشئة عن معالجة نفايات المعدات الكهربائية والإلكترونية أو نفايات مكونات المعدات الكهربائية والإلكترونية.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3379925">
    <w:abstractNumId w:val="2"/>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1"/>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3"/>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836B73"/>
    <w:rsid w:val="00B267A1"/>
    <w:rsid w:val="00BD27C1"/>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505</Words>
  <Characters>2884</Characters>
  <Application>Microsoft Office Word</Application>
  <DocSecurity>0</DocSecurity>
  <Lines>24</Lines>
  <Paragraphs>6</Paragraphs>
  <ScaleCrop>false</ScaleCrop>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2023-04-27T12:53:00Z</dcterms:created>
  <dcterms:modified xsi:type="dcterms:W3CDTF">2023-04-27T12:54:00Z</dcterms:modified>
</cp:coreProperties>
</file>