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D49EB" w14:textId="77777777" w:rsidR="00680027" w:rsidRPr="00B831E7" w:rsidRDefault="00680027" w:rsidP="00680027">
      <w:pPr>
        <w:pStyle w:val="CH1"/>
        <w:spacing w:before="0"/>
      </w:pPr>
      <w:r w:rsidRPr="00B831E7">
        <w:tab/>
      </w:r>
      <w:r w:rsidRPr="00B831E7">
        <w:tab/>
        <w:t>BC-15/18: Amendments to Annexes II, VIII and IX to the Basel Convention</w:t>
      </w:r>
    </w:p>
    <w:p w14:paraId="73997889" w14:textId="77777777" w:rsidR="00680027" w:rsidRPr="00B831E7" w:rsidRDefault="00680027" w:rsidP="00680027">
      <w:pPr>
        <w:pStyle w:val="Normal-pool"/>
        <w:spacing w:after="120"/>
        <w:ind w:left="1247" w:firstLine="624"/>
        <w:rPr>
          <w:i/>
          <w:iCs/>
        </w:rPr>
      </w:pPr>
      <w:r w:rsidRPr="00B831E7">
        <w:rPr>
          <w:i/>
          <w:iCs/>
        </w:rPr>
        <w:t>The Conference of the Parties,</w:t>
      </w:r>
    </w:p>
    <w:p w14:paraId="61B22600" w14:textId="77777777" w:rsidR="00680027" w:rsidRPr="00B831E7" w:rsidRDefault="00680027" w:rsidP="00680027">
      <w:pPr>
        <w:pStyle w:val="Normal-pool"/>
        <w:spacing w:after="120"/>
        <w:ind w:left="1247" w:firstLine="624"/>
      </w:pPr>
      <w:r w:rsidRPr="00B831E7">
        <w:rPr>
          <w:i/>
        </w:rPr>
        <w:t>Having considered</w:t>
      </w:r>
      <w:r w:rsidRPr="00B831E7">
        <w:t xml:space="preserve"> the proposal by the Governments of Ghana and Switzerland to amend Annexes II, VIII and IX to the Basel Convention on the Control of Transboundary Movements of Hazardous Wastes and Their Disposal,</w:t>
      </w:r>
      <w:r w:rsidRPr="00B831E7">
        <w:rPr>
          <w:vertAlign w:val="superscript"/>
        </w:rPr>
        <w:footnoteReference w:id="1"/>
      </w:r>
    </w:p>
    <w:p w14:paraId="0A68CAC2" w14:textId="77777777" w:rsidR="00680027" w:rsidRPr="00B831E7" w:rsidRDefault="00680027" w:rsidP="00680027">
      <w:pPr>
        <w:pStyle w:val="Normal-pool"/>
        <w:numPr>
          <w:ilvl w:val="0"/>
          <w:numId w:val="32"/>
        </w:numPr>
        <w:tabs>
          <w:tab w:val="clear" w:pos="2381"/>
          <w:tab w:val="clear" w:pos="2948"/>
          <w:tab w:val="clear" w:pos="3515"/>
          <w:tab w:val="clear" w:pos="4082"/>
        </w:tabs>
        <w:spacing w:after="120"/>
        <w:ind w:left="1247" w:firstLine="624"/>
      </w:pPr>
      <w:r w:rsidRPr="00B831E7">
        <w:rPr>
          <w:i/>
        </w:rPr>
        <w:t>Decides</w:t>
      </w:r>
      <w:r w:rsidRPr="00B831E7">
        <w:t xml:space="preserve"> to amend Annex II to the Basel Convention on the Control of Transboundary Movements of Hazardous Wastes and Their Disposal by adding the following entry: </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90"/>
        <w:gridCol w:w="7317"/>
      </w:tblGrid>
      <w:tr w:rsidR="00680027" w:rsidRPr="00B831E7" w14:paraId="525A22B4" w14:textId="77777777" w:rsidTr="00AF1B49">
        <w:trPr>
          <w:trHeight w:val="57"/>
          <w:jc w:val="right"/>
        </w:trPr>
        <w:tc>
          <w:tcPr>
            <w:tcW w:w="900" w:type="dxa"/>
            <w:noWrap/>
          </w:tcPr>
          <w:p w14:paraId="71373882" w14:textId="77777777" w:rsidR="00680027" w:rsidRPr="00B831E7" w:rsidRDefault="00680027" w:rsidP="00AF1B49">
            <w:pPr>
              <w:tabs>
                <w:tab w:val="left" w:pos="624"/>
                <w:tab w:val="left" w:pos="1247"/>
                <w:tab w:val="left" w:pos="1814"/>
                <w:tab w:val="left" w:pos="2381"/>
                <w:tab w:val="left" w:pos="2948"/>
                <w:tab w:val="left" w:pos="3515"/>
                <w:tab w:val="left" w:pos="4082"/>
              </w:tabs>
              <w:spacing w:before="40" w:after="40"/>
              <w:rPr>
                <w:rFonts w:eastAsia="Times New Roman"/>
                <w:b/>
                <w:bCs/>
                <w:sz w:val="18"/>
                <w:lang w:val="en-GB"/>
              </w:rPr>
            </w:pPr>
            <w:r w:rsidRPr="00B831E7">
              <w:rPr>
                <w:rFonts w:eastAsia="Times New Roman"/>
                <w:b/>
                <w:bCs/>
                <w:sz w:val="18"/>
                <w:lang w:val="en-GB"/>
              </w:rPr>
              <w:t>Y49</w:t>
            </w:r>
            <w:r w:rsidRPr="00B831E7">
              <w:rPr>
                <w:rFonts w:eastAsia="Times New Roman"/>
                <w:b/>
                <w:bCs/>
                <w:sz w:val="18"/>
                <w:szCs w:val="18"/>
                <w:vertAlign w:val="superscript"/>
                <w:lang w:val="en-GB"/>
              </w:rPr>
              <w:footnoteReference w:id="2"/>
            </w:r>
            <w:r w:rsidRPr="00B831E7">
              <w:rPr>
                <w:rFonts w:eastAsia="Times New Roman"/>
                <w:b/>
                <w:bCs/>
                <w:sz w:val="18"/>
                <w:vertAlign w:val="superscript"/>
                <w:lang w:val="en-GB"/>
              </w:rPr>
              <w:t>,</w:t>
            </w:r>
            <w:r w:rsidRPr="00B831E7">
              <w:rPr>
                <w:rFonts w:eastAsia="Times New Roman"/>
                <w:b/>
                <w:bCs/>
                <w:sz w:val="18"/>
                <w:szCs w:val="18"/>
                <w:vertAlign w:val="superscript"/>
                <w:lang w:val="en-GB"/>
              </w:rPr>
              <w:footnoteReference w:id="3"/>
            </w:r>
          </w:p>
        </w:tc>
        <w:tc>
          <w:tcPr>
            <w:tcW w:w="6655" w:type="dxa"/>
            <w:noWrap/>
          </w:tcPr>
          <w:p w14:paraId="6E7FD0BB" w14:textId="77777777" w:rsidR="00680027" w:rsidRPr="00B831E7" w:rsidRDefault="00680027" w:rsidP="00AF1B49">
            <w:pPr>
              <w:tabs>
                <w:tab w:val="left" w:pos="624"/>
                <w:tab w:val="left" w:pos="1247"/>
                <w:tab w:val="left" w:pos="1814"/>
                <w:tab w:val="left" w:pos="2381"/>
                <w:tab w:val="left" w:pos="2948"/>
                <w:tab w:val="left" w:pos="3515"/>
                <w:tab w:val="left" w:pos="4082"/>
              </w:tabs>
              <w:spacing w:before="40" w:after="40"/>
              <w:rPr>
                <w:rFonts w:eastAsia="Times New Roman"/>
                <w:b/>
                <w:bCs/>
                <w:sz w:val="18"/>
                <w:lang w:val="en-GB"/>
              </w:rPr>
            </w:pPr>
            <w:r w:rsidRPr="00B831E7">
              <w:rPr>
                <w:rFonts w:eastAsia="Times New Roman"/>
                <w:b/>
                <w:bCs/>
                <w:sz w:val="18"/>
                <w:lang w:val="en-GB"/>
              </w:rPr>
              <w:t xml:space="preserve">Electrical and electronic waste: </w:t>
            </w:r>
          </w:p>
          <w:p w14:paraId="3877795D" w14:textId="77777777" w:rsidR="00680027" w:rsidRPr="00B831E7" w:rsidRDefault="00680027" w:rsidP="00680027">
            <w:pPr>
              <w:numPr>
                <w:ilvl w:val="0"/>
                <w:numId w:val="2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lang w:val="en-GB"/>
              </w:rPr>
            </w:pPr>
            <w:r w:rsidRPr="00B831E7">
              <w:rPr>
                <w:rFonts w:eastAsia="Times New Roman"/>
                <w:sz w:val="18"/>
                <w:lang w:val="en-GB"/>
              </w:rPr>
              <w:t xml:space="preserve">Waste electrical and electronic equipment </w:t>
            </w:r>
          </w:p>
          <w:p w14:paraId="5A77C01F" w14:textId="77777777" w:rsidR="00680027" w:rsidRPr="00B831E7" w:rsidRDefault="00680027" w:rsidP="00680027">
            <w:pPr>
              <w:numPr>
                <w:ilvl w:val="0"/>
                <w:numId w:val="29"/>
              </w:numPr>
              <w:tabs>
                <w:tab w:val="left" w:pos="1247"/>
                <w:tab w:val="left" w:pos="1814"/>
                <w:tab w:val="left" w:pos="2381"/>
                <w:tab w:val="left" w:pos="2948"/>
                <w:tab w:val="left" w:pos="3515"/>
                <w:tab w:val="left" w:pos="4082"/>
              </w:tabs>
              <w:spacing w:before="40" w:after="40"/>
              <w:rPr>
                <w:rFonts w:eastAsia="Times New Roman"/>
                <w:sz w:val="18"/>
                <w:lang w:val="en-GB"/>
              </w:rPr>
            </w:pPr>
            <w:r w:rsidRPr="00B831E7">
              <w:rPr>
                <w:rFonts w:eastAsia="Times New Roman"/>
                <w:sz w:val="18"/>
                <w:lang w:val="en-GB"/>
              </w:rPr>
              <w:t>not containing and not contaminated with Annex I constituents to an extent that the waste exhibits an Annex III characteristic, and</w:t>
            </w:r>
          </w:p>
          <w:p w14:paraId="3F124F36" w14:textId="77777777" w:rsidR="00680027" w:rsidRPr="00B831E7" w:rsidRDefault="00680027" w:rsidP="00680027">
            <w:pPr>
              <w:numPr>
                <w:ilvl w:val="0"/>
                <w:numId w:val="29"/>
              </w:numPr>
              <w:tabs>
                <w:tab w:val="left" w:pos="1247"/>
                <w:tab w:val="left" w:pos="1814"/>
                <w:tab w:val="left" w:pos="2381"/>
                <w:tab w:val="left" w:pos="2948"/>
                <w:tab w:val="left" w:pos="3515"/>
                <w:tab w:val="left" w:pos="4082"/>
              </w:tabs>
              <w:spacing w:before="40" w:after="40"/>
              <w:rPr>
                <w:rFonts w:eastAsia="Times New Roman"/>
                <w:sz w:val="18"/>
                <w:lang w:val="en-GB"/>
              </w:rPr>
            </w:pPr>
            <w:r w:rsidRPr="00B831E7">
              <w:rPr>
                <w:rFonts w:eastAsia="Times New Roman"/>
                <w:sz w:val="18"/>
                <w:lang w:val="en-GB"/>
              </w:rPr>
              <w:t>in which none of the components (</w:t>
            </w:r>
            <w:proofErr w:type="gramStart"/>
            <w:r w:rsidRPr="00B831E7">
              <w:rPr>
                <w:rFonts w:eastAsia="Times New Roman"/>
                <w:sz w:val="18"/>
                <w:lang w:val="en-GB"/>
              </w:rPr>
              <w:t>e.g.</w:t>
            </w:r>
            <w:proofErr w:type="gramEnd"/>
            <w:r w:rsidRPr="00B831E7">
              <w:rPr>
                <w:rFonts w:eastAsia="Times New Roman"/>
                <w:sz w:val="18"/>
                <w:lang w:val="en-GB"/>
              </w:rPr>
              <w:t xml:space="preserve"> certain circuit boards, certain display devices) contain or are contaminated with Annex I constituents to an extent that the component exhibits an Annex III characteristic</w:t>
            </w:r>
          </w:p>
          <w:p w14:paraId="3C759E50" w14:textId="77777777" w:rsidR="00680027" w:rsidRPr="00B831E7" w:rsidRDefault="00680027" w:rsidP="00680027">
            <w:pPr>
              <w:numPr>
                <w:ilvl w:val="0"/>
                <w:numId w:val="2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lang w:val="en-GB"/>
              </w:rPr>
            </w:pPr>
            <w:r w:rsidRPr="00B831E7">
              <w:rPr>
                <w:rFonts w:eastAsia="Times New Roman"/>
                <w:sz w:val="18"/>
                <w:lang w:val="en-GB"/>
              </w:rPr>
              <w:t>Waste components of electrical and electronic equipment (</w:t>
            </w:r>
            <w:proofErr w:type="gramStart"/>
            <w:r w:rsidRPr="00B831E7">
              <w:rPr>
                <w:rFonts w:eastAsia="Times New Roman"/>
                <w:sz w:val="18"/>
                <w:lang w:val="en-GB"/>
              </w:rPr>
              <w:t>e.g.</w:t>
            </w:r>
            <w:proofErr w:type="gramEnd"/>
            <w:r w:rsidRPr="00B831E7">
              <w:rPr>
                <w:rFonts w:eastAsia="Times New Roman"/>
                <w:sz w:val="18"/>
                <w:lang w:val="en-GB"/>
              </w:rPr>
              <w:t xml:space="preserve"> certain circuit boards, certain display devices) not containing and not contaminated with Annex I constituents to an extent that the waste components exhibit an Annex III characteristic, unless covered by another entry in Annex II or by an entry in Annex IX </w:t>
            </w:r>
          </w:p>
          <w:p w14:paraId="074738C9" w14:textId="77777777" w:rsidR="00680027" w:rsidRPr="00B831E7" w:rsidRDefault="00680027" w:rsidP="00680027">
            <w:pPr>
              <w:numPr>
                <w:ilvl w:val="0"/>
                <w:numId w:val="28"/>
              </w:numPr>
              <w:tabs>
                <w:tab w:val="left" w:pos="624"/>
                <w:tab w:val="left" w:pos="1247"/>
                <w:tab w:val="left" w:pos="1814"/>
                <w:tab w:val="left" w:pos="2381"/>
                <w:tab w:val="left" w:pos="2948"/>
                <w:tab w:val="left" w:pos="3515"/>
                <w:tab w:val="left" w:pos="4082"/>
              </w:tabs>
              <w:spacing w:before="40" w:after="40"/>
              <w:ind w:left="357" w:hanging="357"/>
              <w:rPr>
                <w:rFonts w:eastAsia="Times New Roman"/>
                <w:i/>
                <w:iCs/>
                <w:sz w:val="18"/>
                <w:lang w:val="en-GB"/>
              </w:rPr>
            </w:pPr>
            <w:r w:rsidRPr="00B831E7">
              <w:rPr>
                <w:rFonts w:eastAsia="Times New Roman"/>
                <w:sz w:val="18"/>
                <w:lang w:val="en-GB"/>
              </w:rPr>
              <w:t>Wastes arising from the processing of waste electrical and electronic equipment or waste components of electrical and electronic equipment (</w:t>
            </w:r>
            <w:proofErr w:type="gramStart"/>
            <w:r w:rsidRPr="00B831E7">
              <w:rPr>
                <w:rFonts w:eastAsia="Times New Roman"/>
                <w:sz w:val="18"/>
                <w:lang w:val="en-GB"/>
              </w:rPr>
              <w:t>e.g.</w:t>
            </w:r>
            <w:proofErr w:type="gramEnd"/>
            <w:r w:rsidRPr="00B831E7">
              <w:rPr>
                <w:rFonts w:eastAsia="Times New Roman"/>
                <w:sz w:val="18"/>
                <w:lang w:val="en-GB"/>
              </w:rPr>
              <w:t xml:space="preserve"> fractions arising from shredding or dismantling), and not containing and not contaminated with Annex I constituents to an extent that the waste exhibits an Annex III characteristic, unless covered by another entry in Annex II or by an entry in Annex IX</w:t>
            </w:r>
          </w:p>
        </w:tc>
      </w:tr>
    </w:tbl>
    <w:p w14:paraId="66F22942" w14:textId="77777777" w:rsidR="00680027" w:rsidRPr="00B831E7" w:rsidRDefault="00680027" w:rsidP="00680027">
      <w:pPr>
        <w:pStyle w:val="Normal-pool"/>
        <w:numPr>
          <w:ilvl w:val="0"/>
          <w:numId w:val="32"/>
        </w:numPr>
        <w:tabs>
          <w:tab w:val="clear" w:pos="2381"/>
          <w:tab w:val="clear" w:pos="2948"/>
          <w:tab w:val="clear" w:pos="3515"/>
          <w:tab w:val="clear" w:pos="4082"/>
        </w:tabs>
        <w:spacing w:before="120" w:after="120"/>
        <w:ind w:left="1247" w:firstLine="624"/>
        <w:rPr>
          <w:iCs/>
        </w:rPr>
      </w:pPr>
      <w:r w:rsidRPr="00B831E7">
        <w:rPr>
          <w:i/>
        </w:rPr>
        <w:t>Also decides</w:t>
      </w:r>
      <w:r w:rsidRPr="00B831E7">
        <w:t xml:space="preserve"> to amend Annex VIII to the Basel Convention by inserting a new entry, A1181, as follows:</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90"/>
        <w:gridCol w:w="7317"/>
      </w:tblGrid>
      <w:tr w:rsidR="00680027" w:rsidRPr="00B831E7" w14:paraId="66D77ED5" w14:textId="77777777" w:rsidTr="00AF1B49">
        <w:trPr>
          <w:trHeight w:val="57"/>
          <w:jc w:val="right"/>
        </w:trPr>
        <w:tc>
          <w:tcPr>
            <w:tcW w:w="900" w:type="dxa"/>
            <w:noWrap/>
          </w:tcPr>
          <w:p w14:paraId="7325A8F5" w14:textId="77777777" w:rsidR="00680027" w:rsidRPr="00B831E7" w:rsidRDefault="00680027" w:rsidP="00AF1B49">
            <w:pPr>
              <w:tabs>
                <w:tab w:val="left" w:pos="624"/>
                <w:tab w:val="left" w:pos="1247"/>
                <w:tab w:val="left" w:pos="1814"/>
                <w:tab w:val="left" w:pos="2381"/>
                <w:tab w:val="left" w:pos="2948"/>
                <w:tab w:val="left" w:pos="3515"/>
                <w:tab w:val="left" w:pos="4082"/>
              </w:tabs>
              <w:spacing w:before="40" w:after="40"/>
              <w:rPr>
                <w:rFonts w:eastAsia="Times New Roman"/>
                <w:b/>
                <w:bCs/>
                <w:sz w:val="18"/>
                <w:lang w:val="en-GB"/>
              </w:rPr>
            </w:pPr>
            <w:r w:rsidRPr="00B831E7">
              <w:rPr>
                <w:rFonts w:eastAsia="Times New Roman"/>
                <w:b/>
                <w:bCs/>
                <w:sz w:val="18"/>
                <w:lang w:val="en-GB"/>
              </w:rPr>
              <w:t>A1181</w:t>
            </w:r>
            <w:bookmarkStart w:id="0" w:name="_Hlk106115366"/>
            <w:r w:rsidRPr="00B831E7">
              <w:rPr>
                <w:rFonts w:eastAsia="Times New Roman"/>
                <w:b/>
                <w:bCs/>
                <w:sz w:val="18"/>
                <w:vertAlign w:val="superscript"/>
                <w:lang w:val="en-GB"/>
              </w:rPr>
              <w:footnoteReference w:id="4"/>
            </w:r>
            <w:bookmarkEnd w:id="0"/>
          </w:p>
        </w:tc>
        <w:tc>
          <w:tcPr>
            <w:tcW w:w="6655" w:type="dxa"/>
            <w:noWrap/>
          </w:tcPr>
          <w:p w14:paraId="06CFB2FF" w14:textId="77777777" w:rsidR="00680027" w:rsidRPr="00B831E7" w:rsidRDefault="00680027" w:rsidP="00AF1B49">
            <w:pPr>
              <w:tabs>
                <w:tab w:val="left" w:pos="624"/>
                <w:tab w:val="left" w:pos="1247"/>
                <w:tab w:val="left" w:pos="1814"/>
                <w:tab w:val="left" w:pos="2381"/>
                <w:tab w:val="left" w:pos="2948"/>
                <w:tab w:val="left" w:pos="3515"/>
                <w:tab w:val="left" w:pos="4082"/>
              </w:tabs>
              <w:spacing w:before="40" w:after="40"/>
              <w:rPr>
                <w:rFonts w:eastAsia="Times New Roman"/>
                <w:b/>
                <w:bCs/>
                <w:sz w:val="18"/>
                <w:lang w:val="en-GB"/>
              </w:rPr>
            </w:pPr>
            <w:r w:rsidRPr="00B831E7">
              <w:rPr>
                <w:rFonts w:eastAsia="Times New Roman"/>
                <w:b/>
                <w:bCs/>
                <w:sz w:val="18"/>
                <w:lang w:val="en-GB"/>
              </w:rPr>
              <w:t>Electrical and electronic waste (note the related entry Y49 in Annex II)</w:t>
            </w:r>
            <w:r w:rsidRPr="00B831E7">
              <w:rPr>
                <w:rFonts w:eastAsia="Times New Roman"/>
                <w:b/>
                <w:bCs/>
                <w:sz w:val="18"/>
                <w:vertAlign w:val="superscript"/>
                <w:lang w:val="en-GB"/>
              </w:rPr>
              <w:footnoteReference w:id="5"/>
            </w:r>
            <w:r w:rsidRPr="00B831E7">
              <w:rPr>
                <w:rFonts w:eastAsia="Times New Roman"/>
                <w:b/>
                <w:bCs/>
                <w:sz w:val="18"/>
                <w:lang w:val="en-GB"/>
              </w:rPr>
              <w:t>:</w:t>
            </w:r>
          </w:p>
          <w:p w14:paraId="69129B01" w14:textId="77777777" w:rsidR="00680027" w:rsidRPr="00B831E7" w:rsidRDefault="00680027" w:rsidP="00680027">
            <w:pPr>
              <w:numPr>
                <w:ilvl w:val="0"/>
                <w:numId w:val="2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lang w:val="en-GB"/>
              </w:rPr>
            </w:pPr>
            <w:r w:rsidRPr="00B831E7">
              <w:rPr>
                <w:rFonts w:eastAsia="Times New Roman"/>
                <w:sz w:val="18"/>
                <w:lang w:val="en-GB"/>
              </w:rPr>
              <w:t xml:space="preserve">Waste electrical and electronic equipment </w:t>
            </w:r>
          </w:p>
          <w:p w14:paraId="09D16250" w14:textId="77777777" w:rsidR="00680027" w:rsidRPr="00B831E7" w:rsidRDefault="00680027" w:rsidP="00680027">
            <w:pPr>
              <w:numPr>
                <w:ilvl w:val="0"/>
                <w:numId w:val="30"/>
              </w:numPr>
              <w:tabs>
                <w:tab w:val="left" w:pos="1247"/>
                <w:tab w:val="left" w:pos="1814"/>
                <w:tab w:val="left" w:pos="2381"/>
                <w:tab w:val="left" w:pos="2948"/>
                <w:tab w:val="left" w:pos="3515"/>
                <w:tab w:val="left" w:pos="4082"/>
              </w:tabs>
              <w:spacing w:before="40" w:after="40"/>
              <w:rPr>
                <w:rFonts w:eastAsia="Times New Roman"/>
                <w:sz w:val="18"/>
                <w:lang w:val="en-GB"/>
              </w:rPr>
            </w:pPr>
            <w:r w:rsidRPr="00B831E7">
              <w:rPr>
                <w:rFonts w:eastAsia="Times New Roman"/>
                <w:sz w:val="18"/>
                <w:lang w:val="en-GB"/>
              </w:rPr>
              <w:t xml:space="preserve">containing or contaminated with cadmium, lead, mercury, </w:t>
            </w:r>
            <w:proofErr w:type="spellStart"/>
            <w:r w:rsidRPr="00B831E7">
              <w:rPr>
                <w:rFonts w:eastAsia="Times New Roman"/>
                <w:sz w:val="18"/>
                <w:lang w:val="en-GB"/>
              </w:rPr>
              <w:t>organohalogen</w:t>
            </w:r>
            <w:proofErr w:type="spellEnd"/>
            <w:r w:rsidRPr="00B831E7">
              <w:rPr>
                <w:rFonts w:eastAsia="Times New Roman"/>
                <w:sz w:val="18"/>
                <w:lang w:val="en-GB"/>
              </w:rPr>
              <w:t xml:space="preserve"> compounds or other Annex I constituents to an extent that the waste exhibits an Annex III characteristic, or</w:t>
            </w:r>
          </w:p>
          <w:p w14:paraId="40B54E96" w14:textId="77777777" w:rsidR="00680027" w:rsidRPr="00B831E7" w:rsidRDefault="00680027" w:rsidP="00680027">
            <w:pPr>
              <w:numPr>
                <w:ilvl w:val="0"/>
                <w:numId w:val="30"/>
              </w:numPr>
              <w:tabs>
                <w:tab w:val="left" w:pos="1247"/>
                <w:tab w:val="left" w:pos="1814"/>
                <w:tab w:val="left" w:pos="2381"/>
                <w:tab w:val="left" w:pos="2948"/>
                <w:tab w:val="left" w:pos="3515"/>
                <w:tab w:val="left" w:pos="4082"/>
              </w:tabs>
              <w:spacing w:before="40" w:after="40"/>
              <w:rPr>
                <w:rFonts w:eastAsia="Times New Roman"/>
                <w:sz w:val="18"/>
                <w:lang w:val="en-GB"/>
              </w:rPr>
            </w:pPr>
            <w:r w:rsidRPr="00B831E7">
              <w:rPr>
                <w:rFonts w:eastAsia="Times New Roman"/>
                <w:sz w:val="18"/>
                <w:lang w:val="en-GB"/>
              </w:rPr>
              <w:t>with a component containing or contaminated with Annex I constituents to an extent that the component exhibits an Annex III characteristic, including but not limited to any of the following components:</w:t>
            </w:r>
          </w:p>
          <w:p w14:paraId="06949AD3"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glass from cathode-ray tubes included on list A</w:t>
            </w:r>
          </w:p>
          <w:p w14:paraId="0E044B53"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a battery included on list A</w:t>
            </w:r>
          </w:p>
          <w:p w14:paraId="55CA6B3E"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 xml:space="preserve">a switch, lamp, fluorescent </w:t>
            </w:r>
            <w:proofErr w:type="gramStart"/>
            <w:r w:rsidRPr="00B831E7">
              <w:rPr>
                <w:rFonts w:eastAsia="Times New Roman"/>
                <w:sz w:val="18"/>
                <w:lang w:val="en-GB"/>
              </w:rPr>
              <w:t>tube</w:t>
            </w:r>
            <w:proofErr w:type="gramEnd"/>
            <w:r w:rsidRPr="00B831E7">
              <w:rPr>
                <w:rFonts w:eastAsia="Times New Roman"/>
                <w:sz w:val="18"/>
                <w:lang w:val="en-GB"/>
              </w:rPr>
              <w:t xml:space="preserve"> or a display device backlight which contains mercury </w:t>
            </w:r>
          </w:p>
          <w:p w14:paraId="51811D49"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a capacitor containing PCBs</w:t>
            </w:r>
          </w:p>
          <w:p w14:paraId="614D6BB5"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 xml:space="preserve">a component containing asbestos </w:t>
            </w:r>
          </w:p>
          <w:p w14:paraId="7229F80F"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 xml:space="preserve">certain circuit boards </w:t>
            </w:r>
          </w:p>
          <w:p w14:paraId="4F1E5A93"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certain display devices</w:t>
            </w:r>
          </w:p>
          <w:p w14:paraId="5A858E72" w14:textId="77777777" w:rsidR="00680027" w:rsidRPr="00B831E7" w:rsidRDefault="00680027" w:rsidP="00680027">
            <w:pPr>
              <w:numPr>
                <w:ilvl w:val="0"/>
                <w:numId w:val="31"/>
              </w:numPr>
              <w:tabs>
                <w:tab w:val="left" w:pos="1247"/>
                <w:tab w:val="left" w:pos="1814"/>
                <w:tab w:val="left" w:pos="2381"/>
                <w:tab w:val="left" w:pos="2948"/>
                <w:tab w:val="left" w:pos="3515"/>
                <w:tab w:val="left" w:pos="4082"/>
              </w:tabs>
              <w:spacing w:before="40" w:after="40"/>
              <w:ind w:hanging="34"/>
              <w:rPr>
                <w:rFonts w:eastAsia="Times New Roman"/>
                <w:sz w:val="18"/>
                <w:lang w:val="en-GB"/>
              </w:rPr>
            </w:pPr>
            <w:r w:rsidRPr="00B831E7">
              <w:rPr>
                <w:rFonts w:eastAsia="Times New Roman"/>
                <w:sz w:val="18"/>
                <w:lang w:val="en-GB"/>
              </w:rPr>
              <w:t xml:space="preserve">certain plastic components containing a brominated flame retardant </w:t>
            </w:r>
          </w:p>
          <w:p w14:paraId="50B68B79" w14:textId="77777777" w:rsidR="00680027" w:rsidRPr="00B831E7" w:rsidRDefault="00680027" w:rsidP="00680027">
            <w:pPr>
              <w:numPr>
                <w:ilvl w:val="0"/>
                <w:numId w:val="2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lang w:val="en-GB"/>
              </w:rPr>
            </w:pPr>
            <w:r w:rsidRPr="00B831E7">
              <w:rPr>
                <w:rFonts w:eastAsia="Times New Roman"/>
                <w:sz w:val="18"/>
                <w:lang w:val="en-GB"/>
              </w:rPr>
              <w:lastRenderedPageBreak/>
              <w:t>Waste components of electrical and electronic equipment containing or contaminated with Annex I constituents to an extent that the waste components exhibit an Annex III characteristic, unless covered by another entry on list A</w:t>
            </w:r>
          </w:p>
          <w:p w14:paraId="0611758E" w14:textId="77777777" w:rsidR="00680027" w:rsidRPr="00B831E7" w:rsidRDefault="00680027" w:rsidP="00680027">
            <w:pPr>
              <w:numPr>
                <w:ilvl w:val="0"/>
                <w:numId w:val="2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lang w:val="en-GB"/>
              </w:rPr>
            </w:pPr>
            <w:r w:rsidRPr="00B831E7">
              <w:rPr>
                <w:rFonts w:eastAsia="Times New Roman"/>
                <w:sz w:val="18"/>
                <w:lang w:val="en-GB"/>
              </w:rPr>
              <w:t>Wastes arising from the processing of waste electrical and electronic equipment or waste components of electrical and electronic equipment, and containing or contaminated with Annex I constituents to an extent that the waste exhibits an Annex III characteristic (</w:t>
            </w:r>
            <w:proofErr w:type="gramStart"/>
            <w:r w:rsidRPr="00B831E7">
              <w:rPr>
                <w:rFonts w:eastAsia="Times New Roman"/>
                <w:sz w:val="18"/>
                <w:lang w:val="en-GB"/>
              </w:rPr>
              <w:t>e.g.</w:t>
            </w:r>
            <w:proofErr w:type="gramEnd"/>
            <w:r w:rsidRPr="00B831E7">
              <w:rPr>
                <w:rFonts w:eastAsia="Times New Roman"/>
                <w:sz w:val="18"/>
                <w:lang w:val="en-GB"/>
              </w:rPr>
              <w:t xml:space="preserve"> fractions arising from shredding or dismantling), unless covered by another entry on list A </w:t>
            </w:r>
          </w:p>
        </w:tc>
      </w:tr>
    </w:tbl>
    <w:p w14:paraId="74299EB2" w14:textId="77777777" w:rsidR="00680027" w:rsidRPr="00B831E7" w:rsidRDefault="00680027" w:rsidP="00680027">
      <w:pPr>
        <w:pStyle w:val="Normal-pool"/>
        <w:numPr>
          <w:ilvl w:val="0"/>
          <w:numId w:val="32"/>
        </w:numPr>
        <w:tabs>
          <w:tab w:val="clear" w:pos="2381"/>
          <w:tab w:val="clear" w:pos="2948"/>
          <w:tab w:val="clear" w:pos="3515"/>
          <w:tab w:val="clear" w:pos="4082"/>
        </w:tabs>
        <w:spacing w:before="240" w:after="120"/>
        <w:ind w:left="1247" w:firstLine="624"/>
      </w:pPr>
      <w:r w:rsidRPr="00B831E7">
        <w:rPr>
          <w:i/>
        </w:rPr>
        <w:lastRenderedPageBreak/>
        <w:t>Further decides</w:t>
      </w:r>
      <w:r w:rsidRPr="00B831E7">
        <w:t xml:space="preserve"> to add a footnote to the entry A1180 in Annex VIII, as follows: “Entry A1180 is effective until 31 December 2024.</w:t>
      </w:r>
      <w:proofErr w:type="gramStart"/>
      <w:r w:rsidRPr="00B831E7">
        <w:t>”;</w:t>
      </w:r>
      <w:proofErr w:type="gramEnd"/>
    </w:p>
    <w:p w14:paraId="7BBA1363" w14:textId="77777777" w:rsidR="00680027" w:rsidRPr="00B831E7" w:rsidRDefault="00680027" w:rsidP="00680027">
      <w:pPr>
        <w:pStyle w:val="Normal-pool"/>
        <w:numPr>
          <w:ilvl w:val="0"/>
          <w:numId w:val="32"/>
        </w:numPr>
        <w:tabs>
          <w:tab w:val="clear" w:pos="2381"/>
          <w:tab w:val="clear" w:pos="2948"/>
          <w:tab w:val="clear" w:pos="3515"/>
          <w:tab w:val="clear" w:pos="4082"/>
        </w:tabs>
        <w:spacing w:after="120"/>
        <w:ind w:left="1247" w:firstLine="624"/>
      </w:pPr>
      <w:r w:rsidRPr="00B831E7">
        <w:rPr>
          <w:i/>
        </w:rPr>
        <w:t>Decides</w:t>
      </w:r>
      <w:r w:rsidRPr="00B831E7">
        <w:t xml:space="preserve"> to delete entries B1110 and B4030 in Annex IX to the Basel </w:t>
      </w:r>
      <w:proofErr w:type="gramStart"/>
      <w:r w:rsidRPr="00B831E7">
        <w:t>Convention;</w:t>
      </w:r>
      <w:proofErr w:type="gramEnd"/>
    </w:p>
    <w:p w14:paraId="2C86BF91" w14:textId="77777777" w:rsidR="00680027" w:rsidRPr="00B831E7" w:rsidRDefault="00680027" w:rsidP="00680027">
      <w:pPr>
        <w:pStyle w:val="Normal-pool"/>
        <w:numPr>
          <w:ilvl w:val="0"/>
          <w:numId w:val="32"/>
        </w:numPr>
        <w:tabs>
          <w:tab w:val="clear" w:pos="2381"/>
          <w:tab w:val="clear" w:pos="2948"/>
          <w:tab w:val="clear" w:pos="3515"/>
          <w:tab w:val="clear" w:pos="4082"/>
        </w:tabs>
        <w:spacing w:after="120"/>
        <w:ind w:left="1247" w:firstLine="624"/>
      </w:pPr>
      <w:r w:rsidRPr="00B831E7">
        <w:rPr>
          <w:i/>
        </w:rPr>
        <w:t>Requests</w:t>
      </w:r>
      <w:r w:rsidRPr="00B831E7">
        <w:rPr>
          <w:iCs/>
        </w:rPr>
        <w:t xml:space="preserve"> the Depositary to communicate the adoption of the amendments set out in the present decision to all Parties on </w:t>
      </w:r>
      <w:r w:rsidRPr="00B831E7">
        <w:t>30 June 2024 so that the amendments will become effective on 1 January 2025 pursuant to subparagraphs (b) and (c) of paragraph 2 of Article 18 of the Convention.</w:t>
      </w:r>
    </w:p>
    <w:p w14:paraId="1D7F4CB3" w14:textId="00B94F39" w:rsidR="00F935A6" w:rsidRPr="00680027" w:rsidRDefault="00F935A6" w:rsidP="00680027">
      <w:pPr>
        <w:spacing w:after="120"/>
        <w:rPr>
          <w:rFonts w:eastAsia="Times New Roman"/>
          <w:lang w:val="en-GB"/>
        </w:rPr>
      </w:pPr>
    </w:p>
    <w:sectPr w:rsidR="00F935A6" w:rsidRPr="006800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17D4F" w14:textId="77777777" w:rsidR="006C64B3" w:rsidRDefault="006C64B3" w:rsidP="004956AB">
      <w:r>
        <w:separator/>
      </w:r>
    </w:p>
  </w:endnote>
  <w:endnote w:type="continuationSeparator" w:id="0">
    <w:p w14:paraId="1395BC4B" w14:textId="77777777" w:rsidR="006C64B3" w:rsidRDefault="006C64B3"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A5E8F" w14:textId="77777777" w:rsidR="006C64B3" w:rsidRDefault="006C64B3" w:rsidP="004956AB">
      <w:r>
        <w:separator/>
      </w:r>
    </w:p>
  </w:footnote>
  <w:footnote w:type="continuationSeparator" w:id="0">
    <w:p w14:paraId="4B6119E3" w14:textId="77777777" w:rsidR="006C64B3" w:rsidRDefault="006C64B3" w:rsidP="004956AB">
      <w:r>
        <w:continuationSeparator/>
      </w:r>
    </w:p>
  </w:footnote>
  <w:footnote w:id="1">
    <w:p w14:paraId="082CEF03" w14:textId="77777777" w:rsidR="00680027" w:rsidRPr="000629DC" w:rsidRDefault="00680027" w:rsidP="00680027">
      <w:pPr>
        <w:pStyle w:val="Footnote-Text"/>
        <w:rPr>
          <w:b/>
          <w:szCs w:val="18"/>
        </w:rPr>
      </w:pPr>
      <w:r w:rsidRPr="000629DC">
        <w:rPr>
          <w:szCs w:val="18"/>
          <w:vertAlign w:val="superscript"/>
        </w:rPr>
        <w:footnoteRef/>
      </w:r>
      <w:r w:rsidRPr="000629DC">
        <w:rPr>
          <w:szCs w:val="18"/>
        </w:rPr>
        <w:t xml:space="preserve"> UNEP/CHW.15/13/Add.2, annex.</w:t>
      </w:r>
    </w:p>
  </w:footnote>
  <w:footnote w:id="2">
    <w:p w14:paraId="3ED9F5D2" w14:textId="77777777" w:rsidR="00680027" w:rsidRPr="000629DC" w:rsidRDefault="00680027" w:rsidP="00680027">
      <w:pPr>
        <w:pStyle w:val="Footnote-Text"/>
        <w:rPr>
          <w:szCs w:val="18"/>
        </w:rPr>
      </w:pPr>
      <w:r w:rsidRPr="000629DC">
        <w:rPr>
          <w:rStyle w:val="FootnoteReference"/>
        </w:rPr>
        <w:footnoteRef/>
      </w:r>
      <w:r w:rsidRPr="000629DC">
        <w:rPr>
          <w:szCs w:val="18"/>
        </w:rPr>
        <w:t xml:space="preserve"> This entry becomes effective as of 1 January 2025.</w:t>
      </w:r>
    </w:p>
  </w:footnote>
  <w:footnote w:id="3">
    <w:p w14:paraId="4AB847D0" w14:textId="77777777" w:rsidR="00680027" w:rsidRPr="000629DC" w:rsidRDefault="00680027" w:rsidP="00680027">
      <w:pPr>
        <w:pStyle w:val="Footnote-Text"/>
        <w:rPr>
          <w:szCs w:val="18"/>
        </w:rPr>
      </w:pPr>
      <w:r w:rsidRPr="000629DC">
        <w:rPr>
          <w:rStyle w:val="FootnoteReference"/>
        </w:rPr>
        <w:footnoteRef/>
      </w:r>
      <w:r w:rsidRPr="000629DC">
        <w:rPr>
          <w:szCs w:val="18"/>
        </w:rPr>
        <w:t xml:space="preserve"> Note the related entry on list A A1181 in Annex VIII.</w:t>
      </w:r>
    </w:p>
  </w:footnote>
  <w:footnote w:id="4">
    <w:p w14:paraId="1AA7DE31" w14:textId="77777777" w:rsidR="00680027" w:rsidRPr="000629DC" w:rsidRDefault="00680027" w:rsidP="00680027">
      <w:pPr>
        <w:pStyle w:val="Footnote-Text"/>
        <w:rPr>
          <w:szCs w:val="18"/>
        </w:rPr>
      </w:pPr>
      <w:r w:rsidRPr="000629DC">
        <w:rPr>
          <w:rStyle w:val="FootnoteReference"/>
        </w:rPr>
        <w:footnoteRef/>
      </w:r>
      <w:r w:rsidRPr="000629DC">
        <w:rPr>
          <w:szCs w:val="18"/>
        </w:rPr>
        <w:t xml:space="preserve"> This entry becomes effective as of 1 January 2025. </w:t>
      </w:r>
    </w:p>
  </w:footnote>
  <w:footnote w:id="5">
    <w:p w14:paraId="3503B94B" w14:textId="77777777" w:rsidR="00680027" w:rsidRPr="000629DC" w:rsidRDefault="00680027" w:rsidP="00680027">
      <w:pPr>
        <w:pStyle w:val="Footnote-Text"/>
        <w:rPr>
          <w:szCs w:val="18"/>
        </w:rPr>
      </w:pPr>
      <w:r w:rsidRPr="000629DC">
        <w:rPr>
          <w:rStyle w:val="FootnoteReference"/>
        </w:rPr>
        <w:footnoteRef/>
      </w:r>
      <w:r w:rsidRPr="000629DC">
        <w:rPr>
          <w:szCs w:val="18"/>
        </w:rPr>
        <w:t xml:space="preserve"> PCBs or PBBs are at a concentration level of 50 mg/kg or more in equipment, in a component, or in wastes arising from the processing of waste electrical and electronic equipment or waste components of electrical and electronic equipment.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D4E70C1"/>
    <w:multiLevelType w:val="hybridMultilevel"/>
    <w:tmpl w:val="C088BDF8"/>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6"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7"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9"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5"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7"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3"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4"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7"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0"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1"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10"/>
  </w:num>
  <w:num w:numId="2" w16cid:durableId="1473252469">
    <w:abstractNumId w:val="1"/>
  </w:num>
  <w:num w:numId="3" w16cid:durableId="1856917451">
    <w:abstractNumId w:val="28"/>
  </w:num>
  <w:num w:numId="4" w16cid:durableId="1559896294">
    <w:abstractNumId w:val="19"/>
  </w:num>
  <w:num w:numId="5" w16cid:durableId="1636064875">
    <w:abstractNumId w:val="4"/>
  </w:num>
  <w:num w:numId="6" w16cid:durableId="1075932777">
    <w:abstractNumId w:val="25"/>
  </w:num>
  <w:num w:numId="7" w16cid:durableId="1541168782">
    <w:abstractNumId w:val="11"/>
  </w:num>
  <w:num w:numId="8" w16cid:durableId="761536350">
    <w:abstractNumId w:val="8"/>
  </w:num>
  <w:num w:numId="9" w16cid:durableId="252052453">
    <w:abstractNumId w:val="14"/>
  </w:num>
  <w:num w:numId="10" w16cid:durableId="1032876827">
    <w:abstractNumId w:val="12"/>
  </w:num>
  <w:num w:numId="11" w16cid:durableId="657073234">
    <w:abstractNumId w:val="7"/>
  </w:num>
  <w:num w:numId="12" w16cid:durableId="234046659">
    <w:abstractNumId w:val="31"/>
  </w:num>
  <w:num w:numId="13" w16cid:durableId="1095369434">
    <w:abstractNumId w:val="0"/>
  </w:num>
  <w:num w:numId="14" w16cid:durableId="1606308210">
    <w:abstractNumId w:val="27"/>
  </w:num>
  <w:num w:numId="15" w16cid:durableId="1040934813">
    <w:abstractNumId w:val="18"/>
  </w:num>
  <w:num w:numId="16" w16cid:durableId="1067650237">
    <w:abstractNumId w:val="20"/>
  </w:num>
  <w:num w:numId="17" w16cid:durableId="1703281793">
    <w:abstractNumId w:val="22"/>
  </w:num>
  <w:num w:numId="18" w16cid:durableId="2105296400">
    <w:abstractNumId w:val="26"/>
  </w:num>
  <w:num w:numId="19" w16cid:durableId="178739468">
    <w:abstractNumId w:val="16"/>
  </w:num>
  <w:num w:numId="20" w16cid:durableId="1607158641">
    <w:abstractNumId w:val="2"/>
  </w:num>
  <w:num w:numId="21" w16cid:durableId="2091193224">
    <w:abstractNumId w:val="5"/>
  </w:num>
  <w:num w:numId="22" w16cid:durableId="1881474576">
    <w:abstractNumId w:val="6"/>
  </w:num>
  <w:num w:numId="23" w16cid:durableId="1069233709">
    <w:abstractNumId w:val="23"/>
  </w:num>
  <w:num w:numId="24" w16cid:durableId="503667506">
    <w:abstractNumId w:val="9"/>
  </w:num>
  <w:num w:numId="25" w16cid:durableId="1165436476">
    <w:abstractNumId w:val="29"/>
  </w:num>
  <w:num w:numId="26" w16cid:durableId="26831406">
    <w:abstractNumId w:val="3"/>
  </w:num>
  <w:num w:numId="27" w16cid:durableId="1022054156">
    <w:abstractNumId w:val="30"/>
  </w:num>
  <w:num w:numId="28" w16cid:durableId="1259366368">
    <w:abstractNumId w:val="15"/>
  </w:num>
  <w:num w:numId="29" w16cid:durableId="1527478605">
    <w:abstractNumId w:val="13"/>
  </w:num>
  <w:num w:numId="30" w16cid:durableId="1580671700">
    <w:abstractNumId w:val="17"/>
  </w:num>
  <w:num w:numId="31" w16cid:durableId="1651398747">
    <w:abstractNumId w:val="24"/>
  </w:num>
  <w:num w:numId="32" w16cid:durableId="15565092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3A5F"/>
    <w:rsid w:val="002E5D8A"/>
    <w:rsid w:val="004956AB"/>
    <w:rsid w:val="00542DFC"/>
    <w:rsid w:val="005F7EEC"/>
    <w:rsid w:val="00680027"/>
    <w:rsid w:val="006C64B3"/>
    <w:rsid w:val="00836B73"/>
    <w:rsid w:val="00884140"/>
    <w:rsid w:val="00C24420"/>
    <w:rsid w:val="00C84536"/>
    <w:rsid w:val="00D67E22"/>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3115</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2023-04-24T13:05:00Z</dcterms:created>
  <dcterms:modified xsi:type="dcterms:W3CDTF">2023-04-24T13:05:00Z</dcterms:modified>
</cp:coreProperties>
</file>