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A4AA2" w14:textId="77777777" w:rsidR="00322FE3" w:rsidRPr="004D0B85" w:rsidRDefault="00322FE3" w:rsidP="00322FE3">
      <w:pPr>
        <w:suppressAutoHyphens/>
        <w:ind w:left="1247"/>
        <w:rPr>
          <w:rFonts w:eastAsia="Calibri"/>
          <w:b/>
          <w:sz w:val="28"/>
          <w:szCs w:val="28"/>
        </w:rPr>
      </w:pPr>
      <w:bookmarkStart w:id="0" w:name="_Hlk536689899"/>
      <w:bookmarkEnd w:id="0"/>
      <w:r w:rsidRPr="004D0B85">
        <w:rPr>
          <w:rFonts w:eastAsia="Calibri"/>
          <w:b/>
          <w:bCs/>
          <w:sz w:val="28"/>
          <w:szCs w:val="28"/>
        </w:rPr>
        <w:t>БК-15/18: Внесение поправок в приложения II, VIII и IX к Базельской конвенции</w:t>
      </w:r>
    </w:p>
    <w:p w14:paraId="7FDDDA4D" w14:textId="77777777" w:rsidR="00322FE3" w:rsidRPr="004D0B85" w:rsidRDefault="00322FE3" w:rsidP="00322FE3">
      <w:pPr>
        <w:tabs>
          <w:tab w:val="left" w:pos="624"/>
          <w:tab w:val="left" w:pos="1247"/>
          <w:tab w:val="left" w:pos="1814"/>
        </w:tabs>
        <w:ind w:left="1247" w:firstLine="624"/>
        <w:rPr>
          <w:rFonts w:eastAsia="Calibri"/>
          <w:i/>
          <w:iCs/>
        </w:rPr>
      </w:pPr>
      <w:r w:rsidRPr="004D0B85">
        <w:rPr>
          <w:rFonts w:eastAsia="Calibri"/>
          <w:i/>
          <w:iCs/>
        </w:rPr>
        <w:t>Конференция Сторон,</w:t>
      </w:r>
    </w:p>
    <w:p w14:paraId="7D0CB7AD" w14:textId="77777777" w:rsidR="00322FE3" w:rsidRPr="004D0B85" w:rsidRDefault="00322FE3" w:rsidP="00322FE3">
      <w:pPr>
        <w:tabs>
          <w:tab w:val="left" w:pos="624"/>
          <w:tab w:val="left" w:pos="1247"/>
          <w:tab w:val="left" w:pos="1814"/>
        </w:tabs>
        <w:ind w:left="1247" w:firstLine="624"/>
      </w:pPr>
      <w:r w:rsidRPr="004D0B85">
        <w:rPr>
          <w:rFonts w:eastAsia="Calibri"/>
          <w:i/>
          <w:iCs/>
        </w:rPr>
        <w:t>рассмотрев</w:t>
      </w:r>
      <w:r w:rsidRPr="004D0B85">
        <w:rPr>
          <w:rFonts w:eastAsia="Calibri"/>
        </w:rPr>
        <w:t xml:space="preserve"> предложение правительств Ганы и Швейцарии о внесении поправок в приложения II, VIII и IX к Базельской конвенции о контроле за трансграничной перевозкой опасных отходов и их удалением</w:t>
      </w:r>
      <w:r w:rsidRPr="004D0B85">
        <w:rPr>
          <w:vertAlign w:val="superscript"/>
        </w:rPr>
        <w:footnoteReference w:id="1"/>
      </w:r>
      <w:r w:rsidRPr="004D0B85">
        <w:rPr>
          <w:rFonts w:eastAsia="Calibri"/>
        </w:rPr>
        <w:t>,</w:t>
      </w:r>
    </w:p>
    <w:p w14:paraId="6BEF63DA" w14:textId="77777777" w:rsidR="00322FE3" w:rsidRPr="004D0B85" w:rsidRDefault="00322FE3" w:rsidP="00322FE3">
      <w:pPr>
        <w:ind w:left="1247" w:firstLine="624"/>
        <w:rPr>
          <w:rFonts w:eastAsia="Calibri"/>
        </w:rPr>
      </w:pPr>
      <w:r w:rsidRPr="008E3387">
        <w:rPr>
          <w:rFonts w:eastAsia="Calibri"/>
        </w:rPr>
        <w:t>1.</w:t>
      </w:r>
      <w:r w:rsidRPr="008E3387">
        <w:rPr>
          <w:rFonts w:eastAsia="Calibri"/>
        </w:rPr>
        <w:tab/>
      </w:r>
      <w:r w:rsidRPr="004D0B85">
        <w:rPr>
          <w:rFonts w:eastAsia="Calibri"/>
          <w:i/>
          <w:iCs/>
        </w:rPr>
        <w:t>постановляет</w:t>
      </w:r>
      <w:r w:rsidRPr="004D0B85">
        <w:rPr>
          <w:rFonts w:eastAsia="Calibri"/>
        </w:rPr>
        <w:t xml:space="preserve"> внести поправку в приложение </w:t>
      </w:r>
      <w:r w:rsidRPr="004D0B85">
        <w:rPr>
          <w:rFonts w:eastAsia="Calibri"/>
          <w:lang w:val="en-US"/>
        </w:rPr>
        <w:t>II</w:t>
      </w:r>
      <w:r w:rsidRPr="004D0B85">
        <w:rPr>
          <w:rFonts w:eastAsia="Calibri"/>
        </w:rPr>
        <w:t xml:space="preserve"> к Базельской конвенции о контроле за трансграничной перевозкой опасных отходов и их удалением, добавив следующую позицию: </w:t>
      </w:r>
    </w:p>
    <w:tbl>
      <w:tblPr>
        <w:tblW w:w="830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90"/>
        <w:gridCol w:w="7317"/>
      </w:tblGrid>
      <w:tr w:rsidR="00322FE3" w:rsidRPr="004D0B85" w14:paraId="00BD5501" w14:textId="77777777" w:rsidTr="006C04D6">
        <w:trPr>
          <w:trHeight w:val="57"/>
          <w:jc w:val="right"/>
        </w:trPr>
        <w:tc>
          <w:tcPr>
            <w:tcW w:w="990" w:type="dxa"/>
            <w:noWrap/>
          </w:tcPr>
          <w:p w14:paraId="59D693B6" w14:textId="77777777" w:rsidR="00322FE3" w:rsidRPr="004D0B85" w:rsidRDefault="00322FE3" w:rsidP="006C04D6">
            <w:pPr>
              <w:spacing w:before="40" w:after="40"/>
              <w:rPr>
                <w:b/>
                <w:bCs/>
                <w:sz w:val="18"/>
                <w:szCs w:val="18"/>
                <w:lang w:val="en-US"/>
              </w:rPr>
            </w:pPr>
            <w:r w:rsidRPr="004D0B85">
              <w:rPr>
                <w:rFonts w:eastAsia="Calibri"/>
                <w:b/>
                <w:bCs/>
                <w:sz w:val="18"/>
                <w:szCs w:val="18"/>
              </w:rPr>
              <w:t>Y49</w:t>
            </w:r>
            <w:r w:rsidRPr="004D0B85">
              <w:rPr>
                <w:b/>
                <w:bCs/>
                <w:sz w:val="18"/>
                <w:szCs w:val="18"/>
                <w:vertAlign w:val="superscript"/>
              </w:rPr>
              <w:footnoteReference w:id="2"/>
            </w:r>
            <w:r w:rsidRPr="004D0B85">
              <w:rPr>
                <w:rFonts w:eastAsia="Calibri"/>
                <w:sz w:val="18"/>
                <w:szCs w:val="18"/>
                <w:vertAlign w:val="superscript"/>
              </w:rPr>
              <w:t>,</w:t>
            </w:r>
            <w:r w:rsidRPr="004D0B85">
              <w:rPr>
                <w:b/>
                <w:bCs/>
                <w:sz w:val="18"/>
                <w:szCs w:val="18"/>
                <w:vertAlign w:val="superscript"/>
              </w:rPr>
              <w:footnoteReference w:id="3"/>
            </w:r>
          </w:p>
        </w:tc>
        <w:tc>
          <w:tcPr>
            <w:tcW w:w="7317" w:type="dxa"/>
            <w:noWrap/>
          </w:tcPr>
          <w:p w14:paraId="17ED8E27" w14:textId="77777777" w:rsidR="00322FE3" w:rsidRPr="004D0B85" w:rsidRDefault="00322FE3" w:rsidP="006C04D6">
            <w:pPr>
              <w:spacing w:before="40" w:after="40"/>
              <w:rPr>
                <w:b/>
                <w:bCs/>
                <w:sz w:val="18"/>
                <w:szCs w:val="18"/>
                <w:lang w:val="en-US"/>
              </w:rPr>
            </w:pPr>
            <w:proofErr w:type="spellStart"/>
            <w:r w:rsidRPr="004D0B85">
              <w:rPr>
                <w:rFonts w:eastAsia="Calibri"/>
                <w:b/>
                <w:bCs/>
                <w:sz w:val="18"/>
                <w:szCs w:val="18"/>
                <w:lang w:val="en-US"/>
              </w:rPr>
              <w:t>Электротехнические</w:t>
            </w:r>
            <w:proofErr w:type="spellEnd"/>
            <w:r w:rsidRPr="004D0B85">
              <w:rPr>
                <w:rFonts w:eastAsia="Calibri"/>
                <w:b/>
                <w:bCs/>
                <w:sz w:val="18"/>
                <w:szCs w:val="18"/>
              </w:rPr>
              <w:t xml:space="preserve"> и электронные отходы</w:t>
            </w:r>
            <w:r w:rsidRPr="004D0B85">
              <w:rPr>
                <w:rFonts w:eastAsia="Calibri"/>
                <w:sz w:val="18"/>
                <w:szCs w:val="18"/>
              </w:rPr>
              <w:t xml:space="preserve"> </w:t>
            </w:r>
          </w:p>
          <w:p w14:paraId="0F732A44" w14:textId="77777777" w:rsidR="00322FE3" w:rsidRPr="004D0B85" w:rsidRDefault="00322FE3" w:rsidP="00322FE3">
            <w:pPr>
              <w:numPr>
                <w:ilvl w:val="0"/>
                <w:numId w:val="38"/>
              </w:numPr>
              <w:spacing w:before="40" w:after="40"/>
              <w:ind w:left="357" w:hanging="357"/>
              <w:rPr>
                <w:sz w:val="18"/>
                <w:szCs w:val="18"/>
                <w:lang w:val="en-US"/>
              </w:rPr>
            </w:pPr>
            <w:r w:rsidRPr="004D0B85">
              <w:rPr>
                <w:rFonts w:eastAsia="Calibri"/>
                <w:sz w:val="18"/>
                <w:szCs w:val="18"/>
              </w:rPr>
              <w:t xml:space="preserve">Отработавшее электротехническое и электронное оборудование </w:t>
            </w:r>
          </w:p>
          <w:p w14:paraId="502919BD" w14:textId="77777777" w:rsidR="00322FE3" w:rsidRPr="004D0B85" w:rsidRDefault="00322FE3" w:rsidP="00322FE3">
            <w:pPr>
              <w:numPr>
                <w:ilvl w:val="0"/>
                <w:numId w:val="39"/>
              </w:numPr>
              <w:spacing w:before="40" w:after="40"/>
              <w:rPr>
                <w:sz w:val="18"/>
                <w:szCs w:val="18"/>
              </w:rPr>
            </w:pPr>
            <w:r w:rsidRPr="004D0B85">
              <w:rPr>
                <w:rFonts w:eastAsia="Calibri"/>
                <w:sz w:val="18"/>
                <w:szCs w:val="18"/>
              </w:rPr>
              <w:t>не содержащее соединений, включенных в приложение I, или не загрязненное ими в том объеме, при котором отработавшим оборудованием проявляется какое-либо свойство, указанное в приложении III; и</w:t>
            </w:r>
          </w:p>
          <w:p w14:paraId="53CD59DA" w14:textId="77777777" w:rsidR="00322FE3" w:rsidRPr="004D0B85" w:rsidRDefault="00322FE3" w:rsidP="00322FE3">
            <w:pPr>
              <w:numPr>
                <w:ilvl w:val="0"/>
                <w:numId w:val="39"/>
              </w:numPr>
              <w:spacing w:before="40" w:after="40"/>
              <w:rPr>
                <w:sz w:val="18"/>
                <w:szCs w:val="18"/>
              </w:rPr>
            </w:pPr>
            <w:r w:rsidRPr="004D0B85">
              <w:rPr>
                <w:rFonts w:eastAsia="Calibri"/>
                <w:sz w:val="18"/>
                <w:szCs w:val="18"/>
              </w:rPr>
              <w:t>в котором ни один из компонентов (например, отдельные печатные платы, отдельные дисплейные устройства) не содержит соединений, включенных в приложение I, или не загрязнен в том объеме, при котором этот компонент проявляет какое-либо свойство, указанное в приложении III;</w:t>
            </w:r>
          </w:p>
          <w:p w14:paraId="07FCD325" w14:textId="77777777" w:rsidR="00322FE3" w:rsidRPr="004D0B85" w:rsidRDefault="00322FE3" w:rsidP="00322FE3">
            <w:pPr>
              <w:numPr>
                <w:ilvl w:val="0"/>
                <w:numId w:val="38"/>
              </w:numPr>
              <w:spacing w:before="40" w:after="40"/>
              <w:ind w:left="357" w:hanging="357"/>
              <w:rPr>
                <w:sz w:val="18"/>
                <w:szCs w:val="18"/>
              </w:rPr>
            </w:pPr>
            <w:r w:rsidRPr="004D0B85">
              <w:rPr>
                <w:rFonts w:eastAsia="Calibri"/>
                <w:sz w:val="18"/>
                <w:szCs w:val="18"/>
              </w:rPr>
              <w:t xml:space="preserve">Отработавшие компоненты электротехнического и электронного оборудования (например, отдельные печатные платы, отдельные дисплейные устройства), не содержащие соединений, включенных в приложение I, и не загрязненные ими в том объеме, при котором эти отработавшие компоненты проявляют какое-либо свойство, указанное в приложении III, если они не подпадают под другую позицию в приложении II или позицию в приложении IX </w:t>
            </w:r>
          </w:p>
          <w:p w14:paraId="093CE8D8" w14:textId="77777777" w:rsidR="00322FE3" w:rsidRPr="004D0B85" w:rsidRDefault="00322FE3" w:rsidP="00322FE3">
            <w:pPr>
              <w:numPr>
                <w:ilvl w:val="0"/>
                <w:numId w:val="38"/>
              </w:numPr>
              <w:spacing w:before="40" w:after="40"/>
              <w:ind w:left="357" w:hanging="357"/>
              <w:rPr>
                <w:i/>
                <w:iCs/>
                <w:sz w:val="18"/>
                <w:szCs w:val="18"/>
              </w:rPr>
            </w:pPr>
            <w:r w:rsidRPr="004D0B85">
              <w:rPr>
                <w:rFonts w:eastAsia="Calibri"/>
                <w:sz w:val="18"/>
                <w:szCs w:val="18"/>
              </w:rPr>
              <w:t>Отходы, образующиеся в результате переработки отработавшего электротехнического и электронного оборудования или отработавших компонентов электротехнического и электронного оборудования (например, фракции, образующиеся в результате измельчения или демонтажа), не содержащие соединений, включенных в приложение I, и не загрязненные ими в том объеме, при котором эти отходы проявляют какое-либо свойство, указанное в приложении III, если они не подпадают под другую позицию в приложении II или позицию в приложении IX</w:t>
            </w:r>
          </w:p>
        </w:tc>
      </w:tr>
    </w:tbl>
    <w:p w14:paraId="7A72B31E" w14:textId="77777777" w:rsidR="00322FE3" w:rsidRPr="004D0B85" w:rsidRDefault="00322FE3" w:rsidP="00322FE3">
      <w:pPr>
        <w:spacing w:before="240"/>
        <w:ind w:left="1247" w:firstLine="624"/>
        <w:rPr>
          <w:iCs/>
          <w:lang w:val="en-US"/>
        </w:rPr>
      </w:pPr>
      <w:r w:rsidRPr="00E34A30">
        <w:rPr>
          <w:rFonts w:eastAsia="Calibri"/>
        </w:rPr>
        <w:t>2.</w:t>
      </w:r>
      <w:r w:rsidRPr="00E34A30">
        <w:rPr>
          <w:rFonts w:eastAsia="Calibri"/>
        </w:rPr>
        <w:tab/>
      </w:r>
      <w:r w:rsidRPr="004D0B85">
        <w:rPr>
          <w:rFonts w:eastAsia="Calibri"/>
          <w:i/>
          <w:iCs/>
        </w:rPr>
        <w:t>постановляет также</w:t>
      </w:r>
      <w:r w:rsidRPr="004D0B85">
        <w:rPr>
          <w:rFonts w:eastAsia="Calibri"/>
        </w:rPr>
        <w:t xml:space="preserve"> внести поправку в приложение VIII к Базельской конвенции, включив новую позицию A1181 следующего содержания:</w:t>
      </w:r>
    </w:p>
    <w:tbl>
      <w:tblPr>
        <w:tblW w:w="830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90"/>
        <w:gridCol w:w="7317"/>
      </w:tblGrid>
      <w:tr w:rsidR="00322FE3" w:rsidRPr="004D0B85" w14:paraId="03B4C8D1" w14:textId="77777777" w:rsidTr="006C04D6">
        <w:trPr>
          <w:trHeight w:val="57"/>
          <w:jc w:val="right"/>
        </w:trPr>
        <w:tc>
          <w:tcPr>
            <w:tcW w:w="990" w:type="dxa"/>
            <w:noWrap/>
          </w:tcPr>
          <w:p w14:paraId="1D4E891A" w14:textId="77777777" w:rsidR="00322FE3" w:rsidRPr="004D0B85" w:rsidRDefault="00322FE3" w:rsidP="006C04D6">
            <w:pPr>
              <w:spacing w:before="40" w:after="40"/>
              <w:rPr>
                <w:b/>
                <w:bCs/>
                <w:sz w:val="18"/>
                <w:szCs w:val="18"/>
                <w:lang w:val="en-US"/>
              </w:rPr>
            </w:pPr>
            <w:r w:rsidRPr="004D0B85">
              <w:rPr>
                <w:rFonts w:eastAsia="Calibri"/>
                <w:b/>
                <w:bCs/>
                <w:sz w:val="18"/>
                <w:szCs w:val="18"/>
              </w:rPr>
              <w:t>A1181</w:t>
            </w:r>
            <w:r w:rsidRPr="004D0B85">
              <w:rPr>
                <w:b/>
                <w:bCs/>
                <w:sz w:val="18"/>
                <w:szCs w:val="18"/>
                <w:vertAlign w:val="superscript"/>
              </w:rPr>
              <w:footnoteReference w:id="4"/>
            </w:r>
            <w:bookmarkStart w:id="1" w:name="_Hlk106115366"/>
            <w:bookmarkEnd w:id="1"/>
          </w:p>
        </w:tc>
        <w:tc>
          <w:tcPr>
            <w:tcW w:w="7317" w:type="dxa"/>
            <w:noWrap/>
          </w:tcPr>
          <w:p w14:paraId="68EE6B8E" w14:textId="77777777" w:rsidR="00322FE3" w:rsidRPr="004D0B85" w:rsidRDefault="00322FE3" w:rsidP="006C04D6">
            <w:pPr>
              <w:spacing w:before="40" w:after="40"/>
              <w:rPr>
                <w:b/>
                <w:bCs/>
                <w:sz w:val="18"/>
                <w:szCs w:val="18"/>
              </w:rPr>
            </w:pPr>
            <w:r w:rsidRPr="004D0B85">
              <w:rPr>
                <w:rFonts w:eastAsia="Calibri"/>
                <w:b/>
                <w:bCs/>
                <w:sz w:val="18"/>
                <w:szCs w:val="18"/>
              </w:rPr>
              <w:t>Электротехнические и электронные отходы (см. соответствующую позицию Y49 в приложении II)</w:t>
            </w:r>
            <w:r w:rsidRPr="004D0B85">
              <w:rPr>
                <w:b/>
                <w:bCs/>
                <w:sz w:val="18"/>
                <w:szCs w:val="18"/>
                <w:vertAlign w:val="superscript"/>
              </w:rPr>
              <w:footnoteReference w:id="5"/>
            </w:r>
          </w:p>
          <w:p w14:paraId="1DA120DF" w14:textId="77777777" w:rsidR="00322FE3" w:rsidRPr="004D0B85" w:rsidRDefault="00322FE3" w:rsidP="00322FE3">
            <w:pPr>
              <w:numPr>
                <w:ilvl w:val="0"/>
                <w:numId w:val="38"/>
              </w:numPr>
              <w:spacing w:before="40" w:after="40"/>
              <w:ind w:left="357" w:hanging="357"/>
              <w:rPr>
                <w:sz w:val="18"/>
                <w:szCs w:val="18"/>
                <w:lang w:val="en-US"/>
              </w:rPr>
            </w:pPr>
            <w:r w:rsidRPr="004D0B85">
              <w:rPr>
                <w:rFonts w:eastAsia="Calibri"/>
                <w:sz w:val="18"/>
                <w:szCs w:val="18"/>
              </w:rPr>
              <w:t xml:space="preserve">Отработавшее электротехническое и электронное оборудование </w:t>
            </w:r>
          </w:p>
          <w:p w14:paraId="4976CF45" w14:textId="77777777" w:rsidR="00322FE3" w:rsidRPr="004D0B85" w:rsidRDefault="00322FE3" w:rsidP="00322FE3">
            <w:pPr>
              <w:numPr>
                <w:ilvl w:val="0"/>
                <w:numId w:val="40"/>
              </w:numPr>
              <w:spacing w:before="40" w:after="40"/>
              <w:rPr>
                <w:sz w:val="18"/>
                <w:szCs w:val="18"/>
              </w:rPr>
            </w:pPr>
            <w:r w:rsidRPr="004D0B85">
              <w:rPr>
                <w:rFonts w:eastAsia="Calibri"/>
                <w:sz w:val="18"/>
                <w:szCs w:val="18"/>
              </w:rPr>
              <w:t>содержащее кадмий, свинец, ртуть, галогенсодержащие органические соединения или другие соединения, включенные в приложение I, или загрязненное ими в том объеме, при котором этим отработавшим оборудованием проявляется какое-либо свойство, указанное в приложении III;</w:t>
            </w:r>
          </w:p>
          <w:p w14:paraId="6DFA761C" w14:textId="77777777" w:rsidR="00322FE3" w:rsidRPr="004D0B85" w:rsidRDefault="00322FE3" w:rsidP="00322FE3">
            <w:pPr>
              <w:numPr>
                <w:ilvl w:val="0"/>
                <w:numId w:val="40"/>
              </w:numPr>
              <w:spacing w:before="40" w:after="40"/>
              <w:rPr>
                <w:sz w:val="18"/>
                <w:szCs w:val="18"/>
              </w:rPr>
            </w:pPr>
            <w:r w:rsidRPr="004D0B85">
              <w:rPr>
                <w:rFonts w:eastAsia="Calibri"/>
                <w:sz w:val="18"/>
                <w:szCs w:val="18"/>
              </w:rPr>
              <w:t>с компонентом, содержащим соединения, включенные в приложение I, или загрязненным в том объеме, при котором компонент проявляет какое-либо свойство, указанное в приложении III, включая, среди прочих, любой из следующих компонентов:</w:t>
            </w:r>
          </w:p>
          <w:p w14:paraId="3C920D87" w14:textId="77777777" w:rsidR="00322FE3" w:rsidRPr="004D0B85" w:rsidRDefault="00322FE3" w:rsidP="00322FE3">
            <w:pPr>
              <w:numPr>
                <w:ilvl w:val="0"/>
                <w:numId w:val="41"/>
              </w:numPr>
              <w:spacing w:before="40" w:after="40"/>
              <w:ind w:hanging="34"/>
              <w:rPr>
                <w:sz w:val="18"/>
                <w:szCs w:val="18"/>
              </w:rPr>
            </w:pPr>
            <w:r w:rsidRPr="004D0B85">
              <w:rPr>
                <w:rFonts w:eastAsia="Calibri"/>
                <w:sz w:val="18"/>
                <w:szCs w:val="18"/>
              </w:rPr>
              <w:lastRenderedPageBreak/>
              <w:t>стекло из катодно-лучевых трубок, включенное в перечень A</w:t>
            </w:r>
          </w:p>
          <w:p w14:paraId="4A1DC989" w14:textId="77777777" w:rsidR="00322FE3" w:rsidRPr="004D0B85" w:rsidRDefault="00322FE3" w:rsidP="00322FE3">
            <w:pPr>
              <w:numPr>
                <w:ilvl w:val="0"/>
                <w:numId w:val="41"/>
              </w:numPr>
              <w:spacing w:before="40" w:after="40"/>
              <w:ind w:hanging="34"/>
              <w:rPr>
                <w:sz w:val="18"/>
                <w:szCs w:val="18"/>
              </w:rPr>
            </w:pPr>
            <w:r w:rsidRPr="004D0B85">
              <w:rPr>
                <w:rFonts w:eastAsia="Calibri"/>
                <w:sz w:val="18"/>
                <w:szCs w:val="18"/>
              </w:rPr>
              <w:t>аккумуляторная батарея, включенная в перечень А</w:t>
            </w:r>
          </w:p>
          <w:p w14:paraId="73C97045" w14:textId="77777777" w:rsidR="00322FE3" w:rsidRPr="004D0B85" w:rsidRDefault="00322FE3" w:rsidP="00322FE3">
            <w:pPr>
              <w:numPr>
                <w:ilvl w:val="0"/>
                <w:numId w:val="41"/>
              </w:numPr>
              <w:spacing w:before="40" w:after="40"/>
              <w:ind w:hanging="34"/>
              <w:rPr>
                <w:sz w:val="18"/>
                <w:szCs w:val="18"/>
              </w:rPr>
            </w:pPr>
            <w:r w:rsidRPr="004D0B85">
              <w:rPr>
                <w:rFonts w:eastAsia="Calibri"/>
                <w:sz w:val="18"/>
                <w:szCs w:val="18"/>
              </w:rPr>
              <w:t xml:space="preserve">переключатель, лампа, люминесцентная трубчатая лампа или дисплейное устройство, содержащие ртуть </w:t>
            </w:r>
          </w:p>
          <w:p w14:paraId="11E50FAA" w14:textId="77777777" w:rsidR="00322FE3" w:rsidRPr="004D0B85" w:rsidRDefault="00322FE3" w:rsidP="00322FE3">
            <w:pPr>
              <w:numPr>
                <w:ilvl w:val="0"/>
                <w:numId w:val="41"/>
              </w:numPr>
              <w:spacing w:before="40" w:after="40"/>
              <w:ind w:hanging="34"/>
              <w:rPr>
                <w:sz w:val="18"/>
                <w:szCs w:val="18"/>
                <w:lang w:val="en-US"/>
              </w:rPr>
            </w:pPr>
            <w:r w:rsidRPr="004D0B85">
              <w:rPr>
                <w:rFonts w:eastAsia="Calibri"/>
                <w:sz w:val="18"/>
                <w:szCs w:val="18"/>
              </w:rPr>
              <w:t>конденсатор, содержащий ПХД</w:t>
            </w:r>
          </w:p>
          <w:p w14:paraId="1B96A555" w14:textId="77777777" w:rsidR="00322FE3" w:rsidRPr="004D0B85" w:rsidRDefault="00322FE3" w:rsidP="00322FE3">
            <w:pPr>
              <w:numPr>
                <w:ilvl w:val="0"/>
                <w:numId w:val="41"/>
              </w:numPr>
              <w:spacing w:before="40" w:after="40"/>
              <w:ind w:hanging="34"/>
              <w:rPr>
                <w:sz w:val="18"/>
                <w:szCs w:val="18"/>
                <w:lang w:val="en-US"/>
              </w:rPr>
            </w:pPr>
            <w:r w:rsidRPr="004D0B85">
              <w:rPr>
                <w:rFonts w:eastAsia="Calibri"/>
                <w:sz w:val="18"/>
                <w:szCs w:val="18"/>
              </w:rPr>
              <w:t xml:space="preserve">компонент, содержащий асбест </w:t>
            </w:r>
          </w:p>
          <w:p w14:paraId="7D5166AC" w14:textId="77777777" w:rsidR="00322FE3" w:rsidRPr="004D0B85" w:rsidRDefault="00322FE3" w:rsidP="00322FE3">
            <w:pPr>
              <w:numPr>
                <w:ilvl w:val="0"/>
                <w:numId w:val="41"/>
              </w:numPr>
              <w:spacing w:before="40" w:after="40"/>
              <w:ind w:hanging="34"/>
              <w:rPr>
                <w:sz w:val="18"/>
                <w:szCs w:val="18"/>
                <w:lang w:val="en-US"/>
              </w:rPr>
            </w:pPr>
            <w:r w:rsidRPr="004D0B85">
              <w:rPr>
                <w:rFonts w:eastAsia="Calibri"/>
                <w:sz w:val="18"/>
                <w:szCs w:val="18"/>
              </w:rPr>
              <w:t xml:space="preserve">отдельные печатные платы </w:t>
            </w:r>
          </w:p>
          <w:p w14:paraId="36DCC88D" w14:textId="77777777" w:rsidR="00322FE3" w:rsidRPr="004D0B85" w:rsidRDefault="00322FE3" w:rsidP="00322FE3">
            <w:pPr>
              <w:numPr>
                <w:ilvl w:val="0"/>
                <w:numId w:val="41"/>
              </w:numPr>
              <w:spacing w:before="40" w:after="40"/>
              <w:ind w:hanging="34"/>
              <w:rPr>
                <w:sz w:val="18"/>
                <w:szCs w:val="18"/>
                <w:lang w:val="en-US"/>
              </w:rPr>
            </w:pPr>
            <w:r w:rsidRPr="004D0B85">
              <w:rPr>
                <w:rFonts w:eastAsia="Calibri"/>
                <w:sz w:val="18"/>
                <w:szCs w:val="18"/>
              </w:rPr>
              <w:t>отдельные дисплейные устройства</w:t>
            </w:r>
          </w:p>
          <w:p w14:paraId="4F068AA2" w14:textId="77777777" w:rsidR="00322FE3" w:rsidRPr="004D0B85" w:rsidRDefault="00322FE3" w:rsidP="00322FE3">
            <w:pPr>
              <w:numPr>
                <w:ilvl w:val="0"/>
                <w:numId w:val="41"/>
              </w:numPr>
              <w:spacing w:before="40" w:after="40"/>
              <w:ind w:hanging="34"/>
              <w:rPr>
                <w:sz w:val="18"/>
                <w:szCs w:val="18"/>
              </w:rPr>
            </w:pPr>
            <w:r w:rsidRPr="004D0B85">
              <w:rPr>
                <w:rFonts w:eastAsia="Calibri"/>
                <w:sz w:val="18"/>
                <w:szCs w:val="18"/>
              </w:rPr>
              <w:t xml:space="preserve">отдельные пластмассовые компоненты, содержащие бромированный антипирен </w:t>
            </w:r>
          </w:p>
          <w:p w14:paraId="490158A5" w14:textId="77777777" w:rsidR="00322FE3" w:rsidRPr="004D0B85" w:rsidRDefault="00322FE3" w:rsidP="00322FE3">
            <w:pPr>
              <w:numPr>
                <w:ilvl w:val="0"/>
                <w:numId w:val="38"/>
              </w:numPr>
              <w:spacing w:before="40" w:after="40"/>
              <w:ind w:left="357" w:hanging="357"/>
              <w:rPr>
                <w:sz w:val="18"/>
                <w:szCs w:val="18"/>
              </w:rPr>
            </w:pPr>
            <w:r w:rsidRPr="004D0B85">
              <w:rPr>
                <w:rFonts w:eastAsia="Calibri"/>
                <w:sz w:val="18"/>
                <w:szCs w:val="18"/>
              </w:rPr>
              <w:t>Отработавшие компоненты электротехнического и электронного оборудования, содержащие соединения, включенные в приложение I, или загрязненные ими в том объеме, при котором эти отработавшие компоненты проявляют какое-либо свойство, указанное в приложении III, если они не подпадают под другую позицию в перечне А</w:t>
            </w:r>
          </w:p>
          <w:p w14:paraId="53B28C14" w14:textId="77777777" w:rsidR="00322FE3" w:rsidRPr="004D0B85" w:rsidRDefault="00322FE3" w:rsidP="00322FE3">
            <w:pPr>
              <w:numPr>
                <w:ilvl w:val="0"/>
                <w:numId w:val="38"/>
              </w:numPr>
              <w:spacing w:before="40" w:after="40"/>
              <w:ind w:left="357" w:hanging="357"/>
              <w:rPr>
                <w:sz w:val="18"/>
                <w:szCs w:val="18"/>
              </w:rPr>
            </w:pPr>
            <w:r w:rsidRPr="004D0B85">
              <w:rPr>
                <w:rFonts w:eastAsia="Calibri"/>
                <w:sz w:val="18"/>
                <w:szCs w:val="18"/>
              </w:rPr>
              <w:t xml:space="preserve">Отходы, образующиеся в результате переработки отработавшего электротехнического и электронного оборудования или отработавших компонентов электротехнического и электронного оборудования, содержащие соединения, включенные в приложение I, или загрязненные ими в том объеме, при котором эти отходы проявляют какое-либо свойство, указанное в приложении III (например, фракции, образующиеся в результате измельчения или демонтажа), если они не подпадают под другую позицию в перечне А </w:t>
            </w:r>
          </w:p>
        </w:tc>
      </w:tr>
    </w:tbl>
    <w:p w14:paraId="49889C78" w14:textId="77777777" w:rsidR="00322FE3" w:rsidRPr="004D0B85" w:rsidRDefault="00322FE3" w:rsidP="00322FE3">
      <w:pPr>
        <w:spacing w:before="240"/>
        <w:ind w:left="1247" w:firstLine="624"/>
      </w:pPr>
      <w:r w:rsidRPr="003F1B80">
        <w:rPr>
          <w:rFonts w:eastAsia="Calibri"/>
        </w:rPr>
        <w:lastRenderedPageBreak/>
        <w:t>3.</w:t>
      </w:r>
      <w:r w:rsidRPr="003F1B80">
        <w:rPr>
          <w:rFonts w:eastAsia="Calibri"/>
        </w:rPr>
        <w:tab/>
      </w:r>
      <w:r w:rsidRPr="004D0B85">
        <w:rPr>
          <w:rFonts w:eastAsia="Calibri"/>
          <w:i/>
          <w:iCs/>
        </w:rPr>
        <w:t xml:space="preserve">постановляет далее </w:t>
      </w:r>
      <w:r w:rsidRPr="004D0B85">
        <w:rPr>
          <w:rFonts w:eastAsia="Calibri"/>
        </w:rPr>
        <w:t>добавить сноску к позиции A1180 в приложении VIII следующего содержания: «Позиция A1180 действует до 31 декабря 2024 года»;</w:t>
      </w:r>
    </w:p>
    <w:p w14:paraId="18E77752" w14:textId="77777777" w:rsidR="00322FE3" w:rsidRPr="004D0B85" w:rsidRDefault="00322FE3" w:rsidP="00322FE3">
      <w:pPr>
        <w:ind w:left="1247" w:firstLine="624"/>
      </w:pPr>
      <w:r w:rsidRPr="003F1B80">
        <w:rPr>
          <w:rFonts w:eastAsia="Calibri"/>
        </w:rPr>
        <w:t>4.</w:t>
      </w:r>
      <w:r>
        <w:rPr>
          <w:rFonts w:eastAsia="Calibri"/>
        </w:rPr>
        <w:tab/>
      </w:r>
      <w:r w:rsidRPr="004D0B85">
        <w:rPr>
          <w:rFonts w:eastAsia="Calibri"/>
          <w:i/>
          <w:iCs/>
        </w:rPr>
        <w:t xml:space="preserve">постановляет </w:t>
      </w:r>
      <w:r w:rsidRPr="004D0B85">
        <w:rPr>
          <w:rFonts w:eastAsia="Calibri"/>
        </w:rPr>
        <w:t>удалить позиции B1110 и B4030 из приложения IX к Базельской конвенции;</w:t>
      </w:r>
    </w:p>
    <w:p w14:paraId="02D94276" w14:textId="77777777" w:rsidR="00322FE3" w:rsidRPr="004D0B85" w:rsidRDefault="00322FE3" w:rsidP="00322FE3">
      <w:pPr>
        <w:ind w:left="1247" w:firstLine="624"/>
      </w:pPr>
      <w:r w:rsidRPr="003F1B80">
        <w:rPr>
          <w:rFonts w:eastAsia="Calibri"/>
        </w:rPr>
        <w:t>5.</w:t>
      </w:r>
      <w:r>
        <w:rPr>
          <w:rFonts w:eastAsia="Calibri"/>
        </w:rPr>
        <w:tab/>
      </w:r>
      <w:r w:rsidRPr="004D0B85">
        <w:rPr>
          <w:rFonts w:eastAsia="Calibri"/>
          <w:i/>
          <w:iCs/>
        </w:rPr>
        <w:t>поручает</w:t>
      </w:r>
      <w:r w:rsidRPr="004D0B85">
        <w:rPr>
          <w:rFonts w:eastAsia="Calibri"/>
        </w:rPr>
        <w:t xml:space="preserve"> Депозитарию препроводить информацию о принятии поправок, изложенных в настоящем решении, всем Сторонам 30 июня 2024 года, с тем чтобы поправки вступили в силу 1 января 2025 года в соответствии с подпунктами b) и c) пункта 2 статьи 18 Конвенции.</w:t>
      </w:r>
    </w:p>
    <w:p w14:paraId="72A577FA" w14:textId="5DE47FDE" w:rsidR="00F935A6" w:rsidRPr="00322FE3" w:rsidRDefault="00F935A6" w:rsidP="00322FE3"/>
    <w:sectPr w:rsidR="00F935A6" w:rsidRPr="00322F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FF6B7" w14:textId="77777777" w:rsidR="003619AE" w:rsidRDefault="003619AE" w:rsidP="002B66BF">
      <w:pPr>
        <w:spacing w:after="0"/>
      </w:pPr>
      <w:r>
        <w:separator/>
      </w:r>
    </w:p>
  </w:endnote>
  <w:endnote w:type="continuationSeparator" w:id="0">
    <w:p w14:paraId="69F58C85" w14:textId="77777777" w:rsidR="003619AE" w:rsidRDefault="003619AE"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3FABA" w14:textId="77777777" w:rsidR="003619AE" w:rsidRDefault="003619AE" w:rsidP="002B66BF">
      <w:pPr>
        <w:spacing w:after="0"/>
      </w:pPr>
      <w:r>
        <w:separator/>
      </w:r>
    </w:p>
  </w:footnote>
  <w:footnote w:type="continuationSeparator" w:id="0">
    <w:p w14:paraId="01BE9071" w14:textId="77777777" w:rsidR="003619AE" w:rsidRDefault="003619AE" w:rsidP="002B66BF">
      <w:pPr>
        <w:spacing w:after="0"/>
      </w:pPr>
      <w:r>
        <w:continuationSeparator/>
      </w:r>
    </w:p>
  </w:footnote>
  <w:footnote w:id="1">
    <w:p w14:paraId="63D748C9" w14:textId="77777777" w:rsidR="00322FE3" w:rsidRPr="000B38B7" w:rsidRDefault="00322FE3" w:rsidP="00322FE3">
      <w:pPr>
        <w:pStyle w:val="Normal-pool"/>
        <w:tabs>
          <w:tab w:val="clear" w:pos="1247"/>
          <w:tab w:val="clear" w:pos="1814"/>
          <w:tab w:val="clear" w:pos="2381"/>
          <w:tab w:val="clear" w:pos="2948"/>
          <w:tab w:val="clear" w:pos="3515"/>
          <w:tab w:val="clear" w:pos="4082"/>
        </w:tabs>
        <w:spacing w:before="20" w:after="40"/>
        <w:ind w:left="1247"/>
        <w:rPr>
          <w:b/>
          <w:sz w:val="18"/>
          <w:szCs w:val="18"/>
        </w:rPr>
      </w:pPr>
      <w:r w:rsidRPr="000B38B7">
        <w:rPr>
          <w:sz w:val="18"/>
          <w:szCs w:val="18"/>
          <w:vertAlign w:val="superscript"/>
        </w:rPr>
        <w:footnoteRef/>
      </w:r>
      <w:r w:rsidRPr="000B38B7">
        <w:rPr>
          <w:sz w:val="18"/>
          <w:szCs w:val="18"/>
        </w:rPr>
        <w:t xml:space="preserve"> </w:t>
      </w:r>
      <w:r>
        <w:rPr>
          <w:sz w:val="18"/>
          <w:szCs w:val="18"/>
        </w:rPr>
        <w:tab/>
      </w:r>
      <w:r w:rsidRPr="000B38B7">
        <w:rPr>
          <w:sz w:val="18"/>
          <w:szCs w:val="18"/>
        </w:rPr>
        <w:t>UNEP/CHW.15/13/Add.2, приложение.</w:t>
      </w:r>
    </w:p>
  </w:footnote>
  <w:footnote w:id="2">
    <w:p w14:paraId="55102F65" w14:textId="77777777" w:rsidR="00322FE3" w:rsidRPr="000B38B7" w:rsidRDefault="00322FE3" w:rsidP="00322FE3">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0B38B7">
        <w:rPr>
          <w:rStyle w:val="FootnoteReference"/>
          <w:sz w:val="18"/>
        </w:rPr>
        <w:footnoteRef/>
      </w:r>
      <w:r w:rsidRPr="000B38B7">
        <w:rPr>
          <w:sz w:val="18"/>
          <w:szCs w:val="18"/>
        </w:rPr>
        <w:t xml:space="preserve"> </w:t>
      </w:r>
      <w:r>
        <w:rPr>
          <w:sz w:val="18"/>
          <w:szCs w:val="18"/>
        </w:rPr>
        <w:tab/>
      </w:r>
      <w:r w:rsidRPr="000B38B7">
        <w:rPr>
          <w:sz w:val="18"/>
          <w:szCs w:val="18"/>
        </w:rPr>
        <w:t xml:space="preserve">Данная </w:t>
      </w:r>
      <w:r w:rsidRPr="000B38B7">
        <w:rPr>
          <w:sz w:val="18"/>
          <w:szCs w:val="18"/>
        </w:rPr>
        <w:t>позиция действует с 1 января 2025 года.</w:t>
      </w:r>
    </w:p>
  </w:footnote>
  <w:footnote w:id="3">
    <w:p w14:paraId="68F72781" w14:textId="77777777" w:rsidR="00322FE3" w:rsidRPr="000B38B7" w:rsidRDefault="00322FE3" w:rsidP="00322FE3">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0B38B7">
        <w:rPr>
          <w:rStyle w:val="FootnoteReference"/>
          <w:sz w:val="18"/>
        </w:rPr>
        <w:footnoteRef/>
      </w:r>
      <w:r w:rsidRPr="000B38B7">
        <w:rPr>
          <w:sz w:val="18"/>
          <w:szCs w:val="18"/>
        </w:rPr>
        <w:t xml:space="preserve"> </w:t>
      </w:r>
      <w:r>
        <w:rPr>
          <w:sz w:val="18"/>
          <w:szCs w:val="18"/>
        </w:rPr>
        <w:tab/>
      </w:r>
      <w:r w:rsidRPr="000B38B7">
        <w:rPr>
          <w:sz w:val="18"/>
          <w:szCs w:val="18"/>
        </w:rPr>
        <w:t xml:space="preserve">См. </w:t>
      </w:r>
      <w:r w:rsidRPr="000B38B7">
        <w:rPr>
          <w:sz w:val="18"/>
          <w:szCs w:val="18"/>
        </w:rPr>
        <w:t>соответствующую позицию A1181 в перечне A в приложении VIII.</w:t>
      </w:r>
    </w:p>
  </w:footnote>
  <w:footnote w:id="4">
    <w:p w14:paraId="6CB37CB1" w14:textId="77777777" w:rsidR="00322FE3" w:rsidRPr="000B38B7" w:rsidRDefault="00322FE3" w:rsidP="00322FE3">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0B38B7">
        <w:rPr>
          <w:rStyle w:val="FootnoteReference"/>
          <w:sz w:val="18"/>
        </w:rPr>
        <w:footnoteRef/>
      </w:r>
      <w:r w:rsidRPr="000B38B7">
        <w:rPr>
          <w:sz w:val="18"/>
          <w:szCs w:val="18"/>
        </w:rPr>
        <w:t xml:space="preserve"> </w:t>
      </w:r>
      <w:r>
        <w:rPr>
          <w:sz w:val="18"/>
          <w:szCs w:val="18"/>
        </w:rPr>
        <w:tab/>
      </w:r>
      <w:r w:rsidRPr="000B38B7">
        <w:rPr>
          <w:sz w:val="18"/>
          <w:szCs w:val="18"/>
        </w:rPr>
        <w:t xml:space="preserve">Данная </w:t>
      </w:r>
      <w:r w:rsidRPr="000B38B7">
        <w:rPr>
          <w:sz w:val="18"/>
          <w:szCs w:val="18"/>
        </w:rPr>
        <w:t xml:space="preserve">позиция действует с 1 января 2025 года. </w:t>
      </w:r>
    </w:p>
  </w:footnote>
  <w:footnote w:id="5">
    <w:p w14:paraId="3CC383AB" w14:textId="77777777" w:rsidR="00322FE3" w:rsidRPr="000B38B7" w:rsidRDefault="00322FE3" w:rsidP="00322FE3">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0B38B7">
        <w:rPr>
          <w:rStyle w:val="FootnoteReference"/>
          <w:sz w:val="18"/>
        </w:rPr>
        <w:footnoteRef/>
      </w:r>
      <w:r w:rsidRPr="000B38B7">
        <w:rPr>
          <w:sz w:val="18"/>
          <w:szCs w:val="18"/>
        </w:rPr>
        <w:t xml:space="preserve"> </w:t>
      </w:r>
      <w:r>
        <w:rPr>
          <w:sz w:val="18"/>
          <w:szCs w:val="18"/>
        </w:rPr>
        <w:tab/>
      </w:r>
      <w:r w:rsidRPr="000B38B7">
        <w:rPr>
          <w:sz w:val="18"/>
          <w:szCs w:val="18"/>
        </w:rPr>
        <w:t xml:space="preserve">ПХБ </w:t>
      </w:r>
      <w:r w:rsidRPr="000B38B7">
        <w:rPr>
          <w:sz w:val="18"/>
          <w:szCs w:val="18"/>
        </w:rPr>
        <w:t>или ПБД присутствуют в концентрации 50 мг/кг и более в оборудовании, в компоненте или в отходах, образующихся в результате переработки отработавшего электротехнического и электронного оборудования или отработавших компонентов электротехнического и электронного оборудования.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2912"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D4E70C1"/>
    <w:multiLevelType w:val="hybridMultilevel"/>
    <w:tmpl w:val="C088BDF8"/>
    <w:styleLink w:val="EstiloImportado111"/>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7B2371"/>
    <w:multiLevelType w:val="hybridMultilevel"/>
    <w:tmpl w:val="CA12B68A"/>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8" w15:restartNumberingAfterBreak="0">
    <w:nsid w:val="22BF3B93"/>
    <w:multiLevelType w:val="hybridMultilevel"/>
    <w:tmpl w:val="5FA48FC4"/>
    <w:lvl w:ilvl="0" w:tplc="FFFFFFFF">
      <w:start w:val="1"/>
      <w:numFmt w:val="decimal"/>
      <w:lvlText w:val="%1."/>
      <w:lvlJc w:val="left"/>
      <w:pPr>
        <w:ind w:left="3215" w:hanging="360"/>
      </w:pPr>
      <w:rPr>
        <w:i w:val="0"/>
        <w:iCs w:val="0"/>
      </w:rPr>
    </w:lvl>
    <w:lvl w:ilvl="1" w:tplc="0B82E394">
      <w:start w:val="1"/>
      <w:numFmt w:val="lowerLetter"/>
      <w:lvlText w:val="%2)"/>
      <w:lvlJc w:val="left"/>
      <w:pPr>
        <w:ind w:left="3935" w:hanging="360"/>
      </w:pPr>
      <w:rPr>
        <w:rFonts w:hint="default"/>
      </w:r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9"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2771"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0"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28CD04B2"/>
    <w:multiLevelType w:val="hybridMultilevel"/>
    <w:tmpl w:val="8EBC2FDC"/>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2"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7"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B640F8"/>
    <w:multiLevelType w:val="hybridMultilevel"/>
    <w:tmpl w:val="585EA654"/>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0"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25"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84D4F49"/>
    <w:multiLevelType w:val="hybridMultilevel"/>
    <w:tmpl w:val="433A984E"/>
    <w:styleLink w:val="Normallist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29" w15:restartNumberingAfterBreak="0">
    <w:nsid w:val="66B46048"/>
    <w:multiLevelType w:val="hybridMultilevel"/>
    <w:tmpl w:val="AE9C15A4"/>
    <w:lvl w:ilvl="0" w:tplc="80084320">
      <w:start w:val="1"/>
      <w:numFmt w:val="lowerLetter"/>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30" w15:restartNumberingAfterBreak="0">
    <w:nsid w:val="66C85822"/>
    <w:multiLevelType w:val="hybridMultilevel"/>
    <w:tmpl w:val="C160231E"/>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1"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0257D47"/>
    <w:multiLevelType w:val="hybridMultilevel"/>
    <w:tmpl w:val="AB30D4F0"/>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5"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3654B96"/>
    <w:multiLevelType w:val="hybridMultilevel"/>
    <w:tmpl w:val="FAAE7B58"/>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8"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C1F1799"/>
    <w:multiLevelType w:val="hybridMultilevel"/>
    <w:tmpl w:val="EEE092F6"/>
    <w:styleLink w:val="EstiloImportado211"/>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0"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911741218">
    <w:abstractNumId w:val="18"/>
  </w:num>
  <w:num w:numId="2" w16cid:durableId="1985698457">
    <w:abstractNumId w:val="21"/>
  </w:num>
  <w:num w:numId="3" w16cid:durableId="1993219452">
    <w:abstractNumId w:val="23"/>
  </w:num>
  <w:num w:numId="4" w16cid:durableId="178666977">
    <w:abstractNumId w:val="2"/>
  </w:num>
  <w:num w:numId="5" w16cid:durableId="1172839810">
    <w:abstractNumId w:val="27"/>
  </w:num>
  <w:num w:numId="6" w16cid:durableId="814758448">
    <w:abstractNumId w:val="33"/>
  </w:num>
  <w:num w:numId="7" w16cid:durableId="1908103088">
    <w:abstractNumId w:val="28"/>
  </w:num>
  <w:num w:numId="8" w16cid:durableId="921450883">
    <w:abstractNumId w:val="38"/>
  </w:num>
  <w:num w:numId="9" w16cid:durableId="520977107">
    <w:abstractNumId w:val="1"/>
  </w:num>
  <w:num w:numId="10" w16cid:durableId="1338776817">
    <w:abstractNumId w:val="24"/>
  </w:num>
  <w:num w:numId="11" w16cid:durableId="943608533">
    <w:abstractNumId w:val="12"/>
  </w:num>
  <w:num w:numId="12" w16cid:durableId="78336049">
    <w:abstractNumId w:val="3"/>
  </w:num>
  <w:num w:numId="13" w16cid:durableId="254870960">
    <w:abstractNumId w:val="36"/>
  </w:num>
  <w:num w:numId="14" w16cid:durableId="1808276422">
    <w:abstractNumId w:val="25"/>
  </w:num>
  <w:num w:numId="15" w16cid:durableId="538929816">
    <w:abstractNumId w:val="6"/>
  </w:num>
  <w:num w:numId="16" w16cid:durableId="616522559">
    <w:abstractNumId w:val="32"/>
  </w:num>
  <w:num w:numId="17" w16cid:durableId="115949650">
    <w:abstractNumId w:val="13"/>
  </w:num>
  <w:num w:numId="18" w16cid:durableId="1232617130">
    <w:abstractNumId w:val="10"/>
  </w:num>
  <w:num w:numId="19" w16cid:durableId="791749502">
    <w:abstractNumId w:val="16"/>
  </w:num>
  <w:num w:numId="20" w16cid:durableId="1014646889">
    <w:abstractNumId w:val="14"/>
  </w:num>
  <w:num w:numId="21" w16cid:durableId="892082095">
    <w:abstractNumId w:val="9"/>
  </w:num>
  <w:num w:numId="22" w16cid:durableId="386926051">
    <w:abstractNumId w:val="40"/>
  </w:num>
  <w:num w:numId="23" w16cid:durableId="1074282455">
    <w:abstractNumId w:val="0"/>
  </w:num>
  <w:num w:numId="24" w16cid:durableId="1471703609">
    <w:abstractNumId w:val="35"/>
  </w:num>
  <w:num w:numId="25" w16cid:durableId="1433940164">
    <w:abstractNumId w:val="22"/>
  </w:num>
  <w:num w:numId="26" w16cid:durableId="1285384561">
    <w:abstractNumId w:val="34"/>
  </w:num>
  <w:num w:numId="27" w16cid:durableId="1517579313">
    <w:abstractNumId w:val="19"/>
  </w:num>
  <w:num w:numId="28" w16cid:durableId="1524394738">
    <w:abstractNumId w:val="4"/>
  </w:num>
  <w:num w:numId="29" w16cid:durableId="101460551">
    <w:abstractNumId w:val="7"/>
  </w:num>
  <w:num w:numId="30" w16cid:durableId="288325050">
    <w:abstractNumId w:val="8"/>
  </w:num>
  <w:num w:numId="31" w16cid:durableId="156308786">
    <w:abstractNumId w:val="30"/>
  </w:num>
  <w:num w:numId="32" w16cid:durableId="1514566393">
    <w:abstractNumId w:val="11"/>
  </w:num>
  <w:num w:numId="33" w16cid:durableId="41639298">
    <w:abstractNumId w:val="37"/>
  </w:num>
  <w:num w:numId="34" w16cid:durableId="380400344">
    <w:abstractNumId w:val="5"/>
  </w:num>
  <w:num w:numId="35" w16cid:durableId="564267273">
    <w:abstractNumId w:val="39"/>
  </w:num>
  <w:num w:numId="36" w16cid:durableId="1390229554">
    <w:abstractNumId w:val="26"/>
  </w:num>
  <w:num w:numId="37" w16cid:durableId="444544330">
    <w:abstractNumId w:val="29"/>
  </w:num>
  <w:num w:numId="38" w16cid:durableId="525992176">
    <w:abstractNumId w:val="17"/>
  </w:num>
  <w:num w:numId="39" w16cid:durableId="633563262">
    <w:abstractNumId w:val="15"/>
  </w:num>
  <w:num w:numId="40" w16cid:durableId="2030793451">
    <w:abstractNumId w:val="20"/>
  </w:num>
  <w:num w:numId="41" w16cid:durableId="21115871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B2CB7"/>
    <w:rsid w:val="002B66BF"/>
    <w:rsid w:val="00322FE3"/>
    <w:rsid w:val="003619AE"/>
    <w:rsid w:val="003C0A29"/>
    <w:rsid w:val="00475395"/>
    <w:rsid w:val="005B1C5E"/>
    <w:rsid w:val="00617E26"/>
    <w:rsid w:val="006A2E46"/>
    <w:rsid w:val="007A72EB"/>
    <w:rsid w:val="00836B73"/>
    <w:rsid w:val="00872B69"/>
    <w:rsid w:val="009B16ED"/>
    <w:rsid w:val="00C84536"/>
    <w:rsid w:val="00CA40F2"/>
    <w:rsid w:val="00E75C1B"/>
    <w:rsid w:val="00F36D44"/>
    <w:rsid w:val="00F70037"/>
    <w:rsid w:val="00F935A6"/>
    <w:rsid w:val="00FA6F08"/>
    <w:rsid w:val="00FD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 w:type="paragraph" w:customStyle="1" w:styleId="CH1">
    <w:name w:val="CH1"/>
    <w:basedOn w:val="Normal"/>
    <w:next w:val="Normal"/>
    <w:qFormat/>
    <w:rsid w:val="006A2E46"/>
    <w:pPr>
      <w:keepNext/>
      <w:keepLines/>
      <w:tabs>
        <w:tab w:val="right" w:pos="851"/>
        <w:tab w:val="left" w:pos="1247"/>
        <w:tab w:val="left" w:pos="1814"/>
        <w:tab w:val="left" w:pos="2381"/>
        <w:tab w:val="left" w:pos="2948"/>
        <w:tab w:val="left" w:pos="3515"/>
        <w:tab w:val="left" w:pos="4082"/>
      </w:tabs>
      <w:suppressAutoHyphens/>
      <w:spacing w:before="240"/>
      <w:ind w:left="1247" w:right="284" w:hanging="1247"/>
    </w:pPr>
    <w:rPr>
      <w:b/>
      <w:sz w:val="28"/>
      <w:szCs w:val="28"/>
      <w:lang w:val="fr-CA"/>
    </w:rPr>
  </w:style>
  <w:style w:type="character" w:customStyle="1" w:styleId="footnote">
    <w:name w:val="footnote"/>
    <w:aliases w:val="reference,16,Point,Superscript,61,reference1,68"/>
    <w:semiHidden/>
    <w:rsid w:val="006A2E46"/>
    <w:rPr>
      <w:rFonts w:ascii="Times New Roman" w:hAnsi="Times New Roman" w:cs="Times New Roman" w:hint="default"/>
      <w:color w:val="auto"/>
      <w:sz w:val="18"/>
      <w:vertAlign w:val="superscript"/>
    </w:rPr>
  </w:style>
  <w:style w:type="numbering" w:customStyle="1" w:styleId="Normallist4">
    <w:name w:val="Normal_list4"/>
    <w:basedOn w:val="NoList"/>
    <w:semiHidden/>
    <w:rsid w:val="006A2E46"/>
    <w:pPr>
      <w:numPr>
        <w:numId w:val="36"/>
      </w:numPr>
    </w:pPr>
  </w:style>
  <w:style w:type="numbering" w:customStyle="1" w:styleId="EstiloImportado111">
    <w:name w:val="Estilo Importado 111"/>
    <w:rsid w:val="006A2E46"/>
    <w:pPr>
      <w:numPr>
        <w:numId w:val="34"/>
      </w:numPr>
    </w:pPr>
  </w:style>
  <w:style w:type="numbering" w:customStyle="1" w:styleId="EstiloImportado211">
    <w:name w:val="Estilo Importado 211"/>
    <w:rsid w:val="006A2E46"/>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661</Words>
  <Characters>3770</Characters>
  <Application>Microsoft Office Word</Application>
  <DocSecurity>0</DocSecurity>
  <Lines>31</Lines>
  <Paragraphs>8</Paragraphs>
  <ScaleCrop>false</ScaleCrop>
  <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2023-05-22T12:58:00Z</dcterms:created>
  <dcterms:modified xsi:type="dcterms:W3CDTF">2023-05-22T12:58:00Z</dcterms:modified>
</cp:coreProperties>
</file>