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DD5D3" w14:textId="77777777" w:rsidR="002403A2" w:rsidRPr="00447994" w:rsidRDefault="002403A2" w:rsidP="002403A2">
      <w:pPr>
        <w:pStyle w:val="CH1"/>
        <w:rPr>
          <w:lang w:val="es-ES_tradnl"/>
        </w:rPr>
      </w:pPr>
      <w:r w:rsidRPr="00447994">
        <w:rPr>
          <w:lang w:val="es-ES_tradnl"/>
        </w:rPr>
        <w:tab/>
      </w:r>
      <w:r w:rsidRPr="00447994">
        <w:rPr>
          <w:lang w:val="es-ES_tradnl"/>
        </w:rPr>
        <w:tab/>
      </w:r>
      <w:r w:rsidRPr="00447994">
        <w:rPr>
          <w:bCs/>
          <w:lang w:val="es-ES_tradnl"/>
        </w:rPr>
        <w:t>BC</w:t>
      </w:r>
      <w:r w:rsidRPr="00447994">
        <w:rPr>
          <w:bCs/>
          <w:lang w:val="es-ES_tradnl"/>
        </w:rPr>
        <w:noBreakHyphen/>
        <w:t>15/18: Enmiendas de los anexos II, VIII y IX del Convenio de Basilea</w:t>
      </w:r>
    </w:p>
    <w:p w14:paraId="1260B47B" w14:textId="77777777" w:rsidR="002403A2" w:rsidRPr="00447994" w:rsidRDefault="002403A2" w:rsidP="002403A2">
      <w:pPr>
        <w:pStyle w:val="Normal-pool"/>
        <w:spacing w:after="120"/>
        <w:ind w:left="1247" w:firstLine="624"/>
        <w:rPr>
          <w:i/>
          <w:iCs/>
          <w:lang w:val="es-ES_tradnl"/>
        </w:rPr>
      </w:pPr>
      <w:r w:rsidRPr="00447994">
        <w:rPr>
          <w:i/>
          <w:iCs/>
          <w:lang w:val="es-ES_tradnl"/>
        </w:rPr>
        <w:t>La Conferencia de las Partes,</w:t>
      </w:r>
    </w:p>
    <w:p w14:paraId="22F88856" w14:textId="77777777" w:rsidR="002403A2" w:rsidRPr="00447994" w:rsidRDefault="002403A2" w:rsidP="002403A2">
      <w:pPr>
        <w:pStyle w:val="Normal-pool"/>
        <w:spacing w:after="120"/>
        <w:ind w:left="1247" w:firstLine="624"/>
        <w:rPr>
          <w:rFonts w:eastAsia="Times New Roman"/>
          <w:lang w:val="es-ES_tradnl"/>
        </w:rPr>
      </w:pPr>
      <w:r w:rsidRPr="00447994">
        <w:rPr>
          <w:i/>
          <w:iCs/>
          <w:lang w:val="es-ES_tradnl"/>
        </w:rPr>
        <w:t>Habiendo examinado</w:t>
      </w:r>
      <w:r w:rsidRPr="00447994">
        <w:rPr>
          <w:lang w:val="es-ES_tradnl"/>
        </w:rPr>
        <w:t xml:space="preserve"> la propuesta presentada por los Gobiernos de Ghana y Suiza para la enmienda de los anexos II, VIII y IX del Convenio de Basilea sobre el Control de los Movimientos Transfronterizos de los Desechos Peligrosos y su Eliminación</w:t>
      </w:r>
      <w:r w:rsidRPr="00447994">
        <w:rPr>
          <w:rFonts w:eastAsia="Times New Roman"/>
          <w:vertAlign w:val="superscript"/>
          <w:lang w:val="es-ES_tradnl"/>
        </w:rPr>
        <w:footnoteReference w:id="1"/>
      </w:r>
      <w:r w:rsidRPr="00447994">
        <w:rPr>
          <w:lang w:val="es-ES_tradnl"/>
        </w:rPr>
        <w:t>,</w:t>
      </w:r>
    </w:p>
    <w:p w14:paraId="339300D1" w14:textId="77777777" w:rsidR="002403A2" w:rsidRPr="00447994" w:rsidRDefault="002403A2" w:rsidP="002403A2">
      <w:pPr>
        <w:pStyle w:val="Normal-pool"/>
        <w:numPr>
          <w:ilvl w:val="0"/>
          <w:numId w:val="42"/>
        </w:numPr>
        <w:spacing w:after="120"/>
        <w:ind w:left="1247" w:firstLine="624"/>
        <w:rPr>
          <w:lang w:val="es-ES_tradnl"/>
        </w:rPr>
      </w:pPr>
      <w:r w:rsidRPr="00447994">
        <w:rPr>
          <w:i/>
          <w:iCs/>
          <w:lang w:val="es-ES_tradnl"/>
        </w:rPr>
        <w:t>Decide</w:t>
      </w:r>
      <w:r w:rsidRPr="00447994">
        <w:rPr>
          <w:lang w:val="es-ES_tradnl"/>
        </w:rPr>
        <w:t xml:space="preserve"> enmendar el anexo II del Convenio de Basilea sobre el Control de los Movimientos Transfronterizos de los Desechos Peligrosos y su Eliminación añadiendo la entrada siguiente: </w:t>
      </w:r>
    </w:p>
    <w:tbl>
      <w:tblPr>
        <w:tblW w:w="830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90"/>
        <w:gridCol w:w="7317"/>
      </w:tblGrid>
      <w:tr w:rsidR="002403A2" w:rsidRPr="00675E92" w14:paraId="6489587B" w14:textId="77777777" w:rsidTr="00A2639E">
        <w:trPr>
          <w:trHeight w:val="57"/>
          <w:jc w:val="right"/>
        </w:trPr>
        <w:tc>
          <w:tcPr>
            <w:tcW w:w="900" w:type="dxa"/>
            <w:noWrap/>
          </w:tcPr>
          <w:p w14:paraId="299326E5" w14:textId="77777777" w:rsidR="002403A2" w:rsidRPr="00447994" w:rsidRDefault="002403A2" w:rsidP="00A2639E">
            <w:pPr>
              <w:tabs>
                <w:tab w:val="left" w:pos="624"/>
                <w:tab w:val="left" w:pos="1247"/>
                <w:tab w:val="left" w:pos="1814"/>
                <w:tab w:val="left" w:pos="2381"/>
                <w:tab w:val="left" w:pos="2948"/>
                <w:tab w:val="left" w:pos="3515"/>
                <w:tab w:val="left" w:pos="4082"/>
              </w:tabs>
              <w:spacing w:before="40" w:after="40"/>
              <w:rPr>
                <w:rFonts w:eastAsia="Times New Roman"/>
                <w:b/>
                <w:bCs/>
                <w:sz w:val="18"/>
                <w:szCs w:val="18"/>
                <w:lang w:val="es-ES_tradnl"/>
              </w:rPr>
            </w:pPr>
            <w:r w:rsidRPr="00447994">
              <w:rPr>
                <w:b/>
                <w:bCs/>
                <w:sz w:val="18"/>
                <w:szCs w:val="18"/>
                <w:lang w:val="es-ES_tradnl"/>
              </w:rPr>
              <w:t>Y49</w:t>
            </w:r>
            <w:r w:rsidRPr="00447994">
              <w:rPr>
                <w:rFonts w:eastAsia="Times New Roman"/>
                <w:b/>
                <w:bCs/>
                <w:sz w:val="18"/>
                <w:szCs w:val="18"/>
                <w:vertAlign w:val="superscript"/>
                <w:lang w:val="es-ES_tradnl"/>
              </w:rPr>
              <w:footnoteReference w:id="2"/>
            </w:r>
            <w:r w:rsidRPr="00447994">
              <w:rPr>
                <w:b/>
                <w:bCs/>
                <w:sz w:val="18"/>
                <w:szCs w:val="18"/>
                <w:vertAlign w:val="superscript"/>
                <w:lang w:val="es-ES_tradnl"/>
              </w:rPr>
              <w:t>,</w:t>
            </w:r>
            <w:r w:rsidRPr="00447994">
              <w:rPr>
                <w:rFonts w:eastAsia="Times New Roman"/>
                <w:b/>
                <w:bCs/>
                <w:sz w:val="18"/>
                <w:szCs w:val="18"/>
                <w:vertAlign w:val="superscript"/>
                <w:lang w:val="es-ES_tradnl"/>
              </w:rPr>
              <w:footnoteReference w:id="3"/>
            </w:r>
          </w:p>
        </w:tc>
        <w:tc>
          <w:tcPr>
            <w:tcW w:w="6655" w:type="dxa"/>
            <w:noWrap/>
          </w:tcPr>
          <w:p w14:paraId="0D47F849" w14:textId="77777777" w:rsidR="002403A2" w:rsidRPr="00447994" w:rsidRDefault="002403A2" w:rsidP="00A2639E">
            <w:pPr>
              <w:tabs>
                <w:tab w:val="left" w:pos="624"/>
                <w:tab w:val="left" w:pos="1247"/>
                <w:tab w:val="left" w:pos="1814"/>
                <w:tab w:val="left" w:pos="2381"/>
                <w:tab w:val="left" w:pos="2948"/>
                <w:tab w:val="left" w:pos="3515"/>
                <w:tab w:val="left" w:pos="4082"/>
              </w:tabs>
              <w:spacing w:before="40" w:after="40"/>
              <w:rPr>
                <w:rFonts w:eastAsia="Times New Roman"/>
                <w:b/>
                <w:bCs/>
                <w:sz w:val="18"/>
                <w:szCs w:val="18"/>
                <w:lang w:val="es-ES_tradnl"/>
              </w:rPr>
            </w:pPr>
            <w:r w:rsidRPr="00447994">
              <w:rPr>
                <w:b/>
                <w:bCs/>
                <w:sz w:val="18"/>
                <w:szCs w:val="18"/>
                <w:lang w:val="es-ES_tradnl"/>
              </w:rPr>
              <w:t>Desechos de equipo eléctricos y electrónicos</w:t>
            </w:r>
            <w:r w:rsidRPr="00447994">
              <w:rPr>
                <w:sz w:val="18"/>
                <w:szCs w:val="18"/>
                <w:lang w:val="es-ES_tradnl"/>
              </w:rPr>
              <w:t xml:space="preserve"> </w:t>
            </w:r>
          </w:p>
          <w:p w14:paraId="1D0CBAE0" w14:textId="77777777" w:rsidR="002403A2" w:rsidRPr="00447994" w:rsidRDefault="002403A2" w:rsidP="002403A2">
            <w:pPr>
              <w:numPr>
                <w:ilvl w:val="0"/>
                <w:numId w:val="38"/>
              </w:numPr>
              <w:tabs>
                <w:tab w:val="left" w:pos="624"/>
                <w:tab w:val="left" w:pos="1247"/>
                <w:tab w:val="left" w:pos="1814"/>
                <w:tab w:val="left" w:pos="2381"/>
                <w:tab w:val="left" w:pos="2948"/>
                <w:tab w:val="left" w:pos="3515"/>
                <w:tab w:val="left" w:pos="4082"/>
              </w:tabs>
              <w:spacing w:before="40" w:after="40"/>
              <w:ind w:left="357" w:hanging="357"/>
              <w:rPr>
                <w:rFonts w:eastAsia="Times New Roman"/>
                <w:sz w:val="18"/>
                <w:szCs w:val="18"/>
                <w:lang w:val="es-ES_tradnl"/>
              </w:rPr>
            </w:pPr>
            <w:r w:rsidRPr="00447994">
              <w:rPr>
                <w:sz w:val="18"/>
                <w:szCs w:val="18"/>
                <w:lang w:val="es-ES_tradnl"/>
              </w:rPr>
              <w:t xml:space="preserve">Desechos de equipo eléctricos y electrónicos </w:t>
            </w:r>
          </w:p>
          <w:p w14:paraId="0C69D940" w14:textId="77777777" w:rsidR="002403A2" w:rsidRPr="00447994" w:rsidRDefault="002403A2" w:rsidP="002403A2">
            <w:pPr>
              <w:numPr>
                <w:ilvl w:val="0"/>
                <w:numId w:val="39"/>
              </w:numPr>
              <w:tabs>
                <w:tab w:val="left" w:pos="1247"/>
                <w:tab w:val="left" w:pos="1814"/>
                <w:tab w:val="left" w:pos="2381"/>
                <w:tab w:val="left" w:pos="2948"/>
                <w:tab w:val="left" w:pos="3515"/>
                <w:tab w:val="left" w:pos="4082"/>
              </w:tabs>
              <w:spacing w:before="40" w:after="40"/>
              <w:rPr>
                <w:rFonts w:eastAsia="Times New Roman"/>
                <w:sz w:val="18"/>
                <w:szCs w:val="18"/>
                <w:lang w:val="es-ES_tradnl"/>
              </w:rPr>
            </w:pPr>
            <w:r w:rsidRPr="00447994">
              <w:rPr>
                <w:sz w:val="18"/>
                <w:szCs w:val="18"/>
                <w:lang w:val="es-ES_tradnl"/>
              </w:rPr>
              <w:t>que no contengan constituyentes incluidos en el anexo I, ni estén contaminados con ellos, en tal grado que esos desechos presenten alguna de las características enumeradas en el anexo III, y</w:t>
            </w:r>
          </w:p>
          <w:p w14:paraId="53C036BA" w14:textId="77777777" w:rsidR="002403A2" w:rsidRPr="00447994" w:rsidRDefault="002403A2" w:rsidP="002403A2">
            <w:pPr>
              <w:numPr>
                <w:ilvl w:val="0"/>
                <w:numId w:val="39"/>
              </w:numPr>
              <w:tabs>
                <w:tab w:val="left" w:pos="1247"/>
                <w:tab w:val="left" w:pos="1814"/>
                <w:tab w:val="left" w:pos="2381"/>
                <w:tab w:val="left" w:pos="2948"/>
                <w:tab w:val="left" w:pos="3515"/>
                <w:tab w:val="left" w:pos="4082"/>
              </w:tabs>
              <w:spacing w:before="40" w:after="40"/>
              <w:rPr>
                <w:rFonts w:eastAsia="Times New Roman"/>
                <w:sz w:val="18"/>
                <w:szCs w:val="18"/>
                <w:lang w:val="es-ES_tradnl"/>
              </w:rPr>
            </w:pPr>
            <w:r w:rsidRPr="00447994">
              <w:rPr>
                <w:sz w:val="18"/>
                <w:szCs w:val="18"/>
                <w:lang w:val="es-ES_tradnl"/>
              </w:rPr>
              <w:t>ninguno de cuyos componentes (por ejemplo, determinados circuitos impresos o determinados dispositivos de visualización) contenga constituyentes incluidos en el anexo I, ni esté contaminado con ellos, en tal grado que ese componente presente alguna de las características enumeradas en el anexo III</w:t>
            </w:r>
          </w:p>
          <w:p w14:paraId="10006C8B" w14:textId="77777777" w:rsidR="002403A2" w:rsidRPr="00447994" w:rsidRDefault="002403A2" w:rsidP="002403A2">
            <w:pPr>
              <w:numPr>
                <w:ilvl w:val="0"/>
                <w:numId w:val="38"/>
              </w:numPr>
              <w:tabs>
                <w:tab w:val="left" w:pos="624"/>
                <w:tab w:val="left" w:pos="1247"/>
                <w:tab w:val="left" w:pos="1814"/>
                <w:tab w:val="left" w:pos="2381"/>
                <w:tab w:val="left" w:pos="2948"/>
                <w:tab w:val="left" w:pos="3515"/>
                <w:tab w:val="left" w:pos="4082"/>
              </w:tabs>
              <w:spacing w:before="40" w:after="40"/>
              <w:ind w:left="357" w:hanging="357"/>
              <w:rPr>
                <w:rFonts w:eastAsia="Times New Roman"/>
                <w:sz w:val="18"/>
                <w:szCs w:val="18"/>
                <w:lang w:val="es-ES_tradnl"/>
              </w:rPr>
            </w:pPr>
            <w:r w:rsidRPr="00447994">
              <w:rPr>
                <w:sz w:val="18"/>
                <w:szCs w:val="18"/>
                <w:lang w:val="es-ES_tradnl"/>
              </w:rPr>
              <w:t xml:space="preserve">Componentes de desecho de equipo eléctrico y electrónico (por ejemplo, determinados circuitos impresos o determinados dispositivos de visualización) que no contengan constituyentes incluidos en el anexo I, ni estén contaminados con ellos, en tal grado que esos componentes de desecho presenten una característica del anexo III, salvo que estén contemplados en otra entrada del anexo II o en una entrada del anexo IX </w:t>
            </w:r>
          </w:p>
          <w:p w14:paraId="7B50C458" w14:textId="77777777" w:rsidR="002403A2" w:rsidRPr="00447994" w:rsidRDefault="002403A2" w:rsidP="002403A2">
            <w:pPr>
              <w:numPr>
                <w:ilvl w:val="0"/>
                <w:numId w:val="38"/>
              </w:numPr>
              <w:tabs>
                <w:tab w:val="left" w:pos="624"/>
                <w:tab w:val="left" w:pos="1247"/>
                <w:tab w:val="left" w:pos="1814"/>
                <w:tab w:val="left" w:pos="2381"/>
                <w:tab w:val="left" w:pos="2948"/>
                <w:tab w:val="left" w:pos="3515"/>
                <w:tab w:val="left" w:pos="4082"/>
              </w:tabs>
              <w:spacing w:before="40" w:after="40"/>
              <w:ind w:left="357" w:hanging="357"/>
              <w:rPr>
                <w:rFonts w:eastAsia="Times New Roman"/>
                <w:i/>
                <w:iCs/>
                <w:sz w:val="18"/>
                <w:szCs w:val="18"/>
                <w:lang w:val="es-ES_tradnl"/>
              </w:rPr>
            </w:pPr>
            <w:r w:rsidRPr="00447994">
              <w:rPr>
                <w:sz w:val="18"/>
                <w:szCs w:val="18"/>
                <w:lang w:val="es-ES_tradnl"/>
              </w:rPr>
              <w:t>Desechos resultantes del tratamiento de desechos de equipo eléctricos y electrónicos o de componentes de desecho de equipo eléctrico y electrónico (por ejemplo, fragmentos resultantes del desmenuzamiento o el desmontaje) que no contengan constituyentes del anexo I, ni estén contaminados con ellos, en tal grado que esos desechos presenten una característica del anexo III, salvo que estén contemplados en otra entrada del anexo II o en una entrada del anexo IX</w:t>
            </w:r>
          </w:p>
        </w:tc>
      </w:tr>
    </w:tbl>
    <w:p w14:paraId="041451E9" w14:textId="77777777" w:rsidR="002403A2" w:rsidRPr="00447994" w:rsidRDefault="002403A2" w:rsidP="002403A2">
      <w:pPr>
        <w:pStyle w:val="Normal-pool"/>
        <w:numPr>
          <w:ilvl w:val="0"/>
          <w:numId w:val="42"/>
        </w:numPr>
        <w:spacing w:before="120" w:after="120"/>
        <w:ind w:left="1247" w:firstLine="624"/>
        <w:rPr>
          <w:rFonts w:eastAsia="Times New Roman"/>
          <w:iCs/>
          <w:lang w:val="es-ES_tradnl"/>
        </w:rPr>
      </w:pPr>
      <w:r w:rsidRPr="00447994">
        <w:rPr>
          <w:i/>
          <w:iCs/>
          <w:lang w:val="es-ES_tradnl"/>
        </w:rPr>
        <w:t>Decide también</w:t>
      </w:r>
      <w:r w:rsidRPr="00447994">
        <w:rPr>
          <w:lang w:val="es-ES_tradnl"/>
        </w:rPr>
        <w:t xml:space="preserve"> enmendar el anexo VIII del Convenio de Basilea insertando una nueva entrada, A1181, a saber:</w:t>
      </w:r>
    </w:p>
    <w:tbl>
      <w:tblPr>
        <w:tblW w:w="830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90"/>
        <w:gridCol w:w="7317"/>
      </w:tblGrid>
      <w:tr w:rsidR="002403A2" w:rsidRPr="00675E92" w14:paraId="1D566363" w14:textId="77777777" w:rsidTr="00A2639E">
        <w:trPr>
          <w:trHeight w:val="57"/>
          <w:jc w:val="right"/>
        </w:trPr>
        <w:tc>
          <w:tcPr>
            <w:tcW w:w="900" w:type="dxa"/>
            <w:noWrap/>
          </w:tcPr>
          <w:p w14:paraId="1A97085A" w14:textId="77777777" w:rsidR="002403A2" w:rsidRPr="00447994" w:rsidRDefault="002403A2" w:rsidP="00A2639E">
            <w:pPr>
              <w:tabs>
                <w:tab w:val="left" w:pos="624"/>
                <w:tab w:val="left" w:pos="1247"/>
                <w:tab w:val="left" w:pos="1814"/>
                <w:tab w:val="left" w:pos="2381"/>
                <w:tab w:val="left" w:pos="2948"/>
                <w:tab w:val="left" w:pos="3515"/>
                <w:tab w:val="left" w:pos="4082"/>
              </w:tabs>
              <w:spacing w:before="40" w:after="40"/>
              <w:rPr>
                <w:rFonts w:eastAsia="Times New Roman"/>
                <w:b/>
                <w:bCs/>
                <w:sz w:val="18"/>
                <w:szCs w:val="18"/>
                <w:lang w:val="es-ES_tradnl"/>
              </w:rPr>
            </w:pPr>
            <w:r w:rsidRPr="00447994">
              <w:rPr>
                <w:b/>
                <w:bCs/>
                <w:sz w:val="18"/>
                <w:szCs w:val="18"/>
                <w:lang w:val="es-ES_tradnl"/>
              </w:rPr>
              <w:t>A1181</w:t>
            </w:r>
            <w:r w:rsidRPr="00447994">
              <w:rPr>
                <w:rFonts w:eastAsia="Times New Roman"/>
                <w:b/>
                <w:bCs/>
                <w:sz w:val="18"/>
                <w:szCs w:val="18"/>
                <w:vertAlign w:val="superscript"/>
                <w:lang w:val="es-ES_tradnl"/>
              </w:rPr>
              <w:footnoteReference w:id="4"/>
            </w:r>
            <w:bookmarkStart w:id="0" w:name="_Hlk106115366"/>
            <w:bookmarkEnd w:id="0"/>
          </w:p>
        </w:tc>
        <w:tc>
          <w:tcPr>
            <w:tcW w:w="6655" w:type="dxa"/>
            <w:noWrap/>
          </w:tcPr>
          <w:p w14:paraId="2F281AB8" w14:textId="77777777" w:rsidR="002403A2" w:rsidRPr="00447994" w:rsidRDefault="002403A2" w:rsidP="00A2639E">
            <w:pPr>
              <w:tabs>
                <w:tab w:val="left" w:pos="624"/>
                <w:tab w:val="left" w:pos="1247"/>
                <w:tab w:val="left" w:pos="1814"/>
                <w:tab w:val="left" w:pos="2381"/>
                <w:tab w:val="left" w:pos="2948"/>
                <w:tab w:val="left" w:pos="3515"/>
                <w:tab w:val="left" w:pos="4082"/>
              </w:tabs>
              <w:spacing w:before="40" w:after="40"/>
              <w:rPr>
                <w:rFonts w:eastAsia="Times New Roman"/>
                <w:b/>
                <w:bCs/>
                <w:sz w:val="18"/>
                <w:szCs w:val="18"/>
                <w:lang w:val="es-ES_tradnl"/>
              </w:rPr>
            </w:pPr>
            <w:r w:rsidRPr="00447994">
              <w:rPr>
                <w:b/>
                <w:bCs/>
                <w:sz w:val="18"/>
                <w:szCs w:val="18"/>
                <w:lang w:val="es-ES_tradnl"/>
              </w:rPr>
              <w:t>Desechos de equipo eléctricos y electrónicos (véase la correspondiente entrada Y49 del anexo II)</w:t>
            </w:r>
            <w:r w:rsidRPr="00447994">
              <w:rPr>
                <w:rFonts w:eastAsia="Times New Roman"/>
                <w:b/>
                <w:bCs/>
                <w:sz w:val="18"/>
                <w:szCs w:val="18"/>
                <w:vertAlign w:val="superscript"/>
                <w:lang w:val="es-ES_tradnl"/>
              </w:rPr>
              <w:footnoteReference w:id="5"/>
            </w:r>
            <w:r w:rsidRPr="00447994">
              <w:rPr>
                <w:b/>
                <w:bCs/>
                <w:sz w:val="18"/>
                <w:szCs w:val="18"/>
                <w:lang w:val="es-ES_tradnl"/>
              </w:rPr>
              <w:t>:</w:t>
            </w:r>
          </w:p>
          <w:p w14:paraId="3095DD43" w14:textId="77777777" w:rsidR="002403A2" w:rsidRPr="00447994" w:rsidRDefault="002403A2" w:rsidP="002403A2">
            <w:pPr>
              <w:numPr>
                <w:ilvl w:val="0"/>
                <w:numId w:val="38"/>
              </w:numPr>
              <w:tabs>
                <w:tab w:val="left" w:pos="624"/>
                <w:tab w:val="left" w:pos="1247"/>
                <w:tab w:val="left" w:pos="1814"/>
                <w:tab w:val="left" w:pos="2381"/>
                <w:tab w:val="left" w:pos="2948"/>
                <w:tab w:val="left" w:pos="3515"/>
                <w:tab w:val="left" w:pos="4082"/>
              </w:tabs>
              <w:spacing w:before="40" w:after="40"/>
              <w:ind w:left="357" w:hanging="357"/>
              <w:rPr>
                <w:rFonts w:eastAsia="Times New Roman"/>
                <w:sz w:val="18"/>
                <w:szCs w:val="18"/>
                <w:lang w:val="es-ES_tradnl"/>
              </w:rPr>
            </w:pPr>
            <w:r w:rsidRPr="00447994">
              <w:rPr>
                <w:sz w:val="18"/>
                <w:szCs w:val="18"/>
                <w:lang w:val="es-ES_tradnl"/>
              </w:rPr>
              <w:t xml:space="preserve">Desechos de equipo eléctricos y electrónicos </w:t>
            </w:r>
          </w:p>
          <w:p w14:paraId="005613B5" w14:textId="77777777" w:rsidR="002403A2" w:rsidRPr="00447994" w:rsidRDefault="002403A2" w:rsidP="002403A2">
            <w:pPr>
              <w:numPr>
                <w:ilvl w:val="0"/>
                <w:numId w:val="40"/>
              </w:numPr>
              <w:tabs>
                <w:tab w:val="left" w:pos="1247"/>
                <w:tab w:val="left" w:pos="1814"/>
                <w:tab w:val="left" w:pos="2381"/>
                <w:tab w:val="left" w:pos="2948"/>
                <w:tab w:val="left" w:pos="3515"/>
                <w:tab w:val="left" w:pos="4082"/>
              </w:tabs>
              <w:spacing w:before="40" w:after="40"/>
              <w:rPr>
                <w:rFonts w:eastAsia="Times New Roman"/>
                <w:sz w:val="18"/>
                <w:szCs w:val="18"/>
                <w:lang w:val="es-ES_tradnl"/>
              </w:rPr>
            </w:pPr>
            <w:r w:rsidRPr="00447994">
              <w:rPr>
                <w:sz w:val="18"/>
                <w:szCs w:val="18"/>
                <w:lang w:val="es-ES_tradnl"/>
              </w:rPr>
              <w:t xml:space="preserve">que contengan cadmio, plomo, mercurio, compuestos </w:t>
            </w:r>
            <w:proofErr w:type="spellStart"/>
            <w:r w:rsidRPr="00447994">
              <w:rPr>
                <w:sz w:val="18"/>
                <w:szCs w:val="18"/>
                <w:lang w:val="es-ES_tradnl"/>
              </w:rPr>
              <w:t>organohalogenados</w:t>
            </w:r>
            <w:proofErr w:type="spellEnd"/>
            <w:r w:rsidRPr="00447994">
              <w:rPr>
                <w:sz w:val="18"/>
                <w:szCs w:val="18"/>
                <w:lang w:val="es-ES_tradnl"/>
              </w:rPr>
              <w:t xml:space="preserve"> u otros constituyentes incluidos en el anexo I, o estén contaminados con ellos, en tal grado que esos desechos presenten alguna de las características enumeradas en el anexo III, o</w:t>
            </w:r>
          </w:p>
          <w:p w14:paraId="013EBB5C" w14:textId="77777777" w:rsidR="002403A2" w:rsidRPr="00447994" w:rsidRDefault="002403A2" w:rsidP="002403A2">
            <w:pPr>
              <w:numPr>
                <w:ilvl w:val="0"/>
                <w:numId w:val="40"/>
              </w:numPr>
              <w:tabs>
                <w:tab w:val="left" w:pos="1247"/>
                <w:tab w:val="left" w:pos="1814"/>
                <w:tab w:val="left" w:pos="2381"/>
                <w:tab w:val="left" w:pos="2948"/>
                <w:tab w:val="left" w:pos="3515"/>
                <w:tab w:val="left" w:pos="4082"/>
              </w:tabs>
              <w:spacing w:before="40" w:after="40"/>
              <w:rPr>
                <w:rFonts w:eastAsia="Times New Roman"/>
                <w:sz w:val="18"/>
                <w:szCs w:val="18"/>
                <w:lang w:val="es-ES_tradnl"/>
              </w:rPr>
            </w:pPr>
            <w:r w:rsidRPr="00447994">
              <w:rPr>
                <w:sz w:val="18"/>
                <w:szCs w:val="18"/>
                <w:lang w:val="es-ES_tradnl"/>
              </w:rPr>
              <w:t>alguno de cuyos componentes contenga constituyentes del anexo I, o esté contaminados con ellos, en tal grado que ese componente presente alguna de las características enumeradas en el anexo III, incluidos, entre otros, cualquiera de los siguientes componentes:</w:t>
            </w:r>
          </w:p>
          <w:p w14:paraId="5EA6592A" w14:textId="77777777" w:rsidR="002403A2" w:rsidRPr="00447994" w:rsidRDefault="002403A2" w:rsidP="002403A2">
            <w:pPr>
              <w:numPr>
                <w:ilvl w:val="0"/>
                <w:numId w:val="41"/>
              </w:numPr>
              <w:tabs>
                <w:tab w:val="left" w:pos="1247"/>
                <w:tab w:val="left" w:pos="1814"/>
                <w:tab w:val="left" w:pos="2381"/>
                <w:tab w:val="left" w:pos="2948"/>
                <w:tab w:val="left" w:pos="3515"/>
                <w:tab w:val="left" w:pos="4082"/>
              </w:tabs>
              <w:spacing w:before="40" w:after="40"/>
              <w:ind w:hanging="34"/>
              <w:rPr>
                <w:rFonts w:eastAsia="Times New Roman"/>
                <w:sz w:val="18"/>
                <w:szCs w:val="18"/>
                <w:lang w:val="es-ES_tradnl"/>
              </w:rPr>
            </w:pPr>
            <w:r w:rsidRPr="00447994">
              <w:rPr>
                <w:sz w:val="18"/>
                <w:szCs w:val="18"/>
                <w:lang w:val="es-ES_tradnl"/>
              </w:rPr>
              <w:t>vidrio de los tubos de rayos catódicos incluidos en la lista A</w:t>
            </w:r>
          </w:p>
          <w:p w14:paraId="2EB796EF" w14:textId="77777777" w:rsidR="002403A2" w:rsidRPr="00447994" w:rsidRDefault="002403A2" w:rsidP="002403A2">
            <w:pPr>
              <w:numPr>
                <w:ilvl w:val="0"/>
                <w:numId w:val="41"/>
              </w:numPr>
              <w:tabs>
                <w:tab w:val="left" w:pos="1247"/>
                <w:tab w:val="left" w:pos="1814"/>
                <w:tab w:val="left" w:pos="2381"/>
                <w:tab w:val="left" w:pos="2948"/>
                <w:tab w:val="left" w:pos="3515"/>
                <w:tab w:val="left" w:pos="4082"/>
              </w:tabs>
              <w:spacing w:before="40" w:after="40"/>
              <w:ind w:hanging="34"/>
              <w:rPr>
                <w:rFonts w:eastAsia="Times New Roman"/>
                <w:sz w:val="18"/>
                <w:szCs w:val="18"/>
                <w:lang w:val="es-ES_tradnl"/>
              </w:rPr>
            </w:pPr>
            <w:r w:rsidRPr="00447994">
              <w:rPr>
                <w:sz w:val="18"/>
                <w:szCs w:val="18"/>
                <w:lang w:val="es-ES_tradnl"/>
              </w:rPr>
              <w:t>una batería incluida en la lista A</w:t>
            </w:r>
          </w:p>
          <w:p w14:paraId="5426127C" w14:textId="77777777" w:rsidR="002403A2" w:rsidRPr="00447994" w:rsidRDefault="002403A2" w:rsidP="002403A2">
            <w:pPr>
              <w:numPr>
                <w:ilvl w:val="0"/>
                <w:numId w:val="41"/>
              </w:numPr>
              <w:tabs>
                <w:tab w:val="left" w:pos="1247"/>
                <w:tab w:val="left" w:pos="1814"/>
                <w:tab w:val="left" w:pos="2381"/>
                <w:tab w:val="left" w:pos="2948"/>
                <w:tab w:val="left" w:pos="3515"/>
                <w:tab w:val="left" w:pos="4082"/>
              </w:tabs>
              <w:spacing w:before="40" w:after="40"/>
              <w:ind w:hanging="34"/>
              <w:rPr>
                <w:rFonts w:eastAsia="Times New Roman"/>
                <w:sz w:val="18"/>
                <w:szCs w:val="18"/>
                <w:lang w:val="es-ES_tradnl"/>
              </w:rPr>
            </w:pPr>
            <w:r w:rsidRPr="00447994">
              <w:rPr>
                <w:sz w:val="18"/>
                <w:szCs w:val="18"/>
                <w:lang w:val="es-ES_tradnl"/>
              </w:rPr>
              <w:lastRenderedPageBreak/>
              <w:t xml:space="preserve">un interruptor, una lámpara, un tubo fluorescente o una unidad de retroiluminación de un dispositivo de visualización que contenga mercurio </w:t>
            </w:r>
          </w:p>
          <w:p w14:paraId="539FF9B6" w14:textId="77777777" w:rsidR="002403A2" w:rsidRPr="00447994" w:rsidRDefault="002403A2" w:rsidP="002403A2">
            <w:pPr>
              <w:numPr>
                <w:ilvl w:val="0"/>
                <w:numId w:val="41"/>
              </w:numPr>
              <w:tabs>
                <w:tab w:val="left" w:pos="1247"/>
                <w:tab w:val="left" w:pos="1814"/>
                <w:tab w:val="left" w:pos="2381"/>
                <w:tab w:val="left" w:pos="2948"/>
                <w:tab w:val="left" w:pos="3515"/>
                <w:tab w:val="left" w:pos="4082"/>
              </w:tabs>
              <w:spacing w:before="40" w:after="40"/>
              <w:ind w:hanging="34"/>
              <w:rPr>
                <w:rFonts w:eastAsia="Times New Roman"/>
                <w:sz w:val="18"/>
                <w:szCs w:val="18"/>
                <w:lang w:val="es-ES_tradnl"/>
              </w:rPr>
            </w:pPr>
            <w:r w:rsidRPr="00447994">
              <w:rPr>
                <w:sz w:val="18"/>
                <w:szCs w:val="18"/>
                <w:lang w:val="es-ES_tradnl"/>
              </w:rPr>
              <w:t>un condensador que contenga bifenilos policlorados</w:t>
            </w:r>
          </w:p>
          <w:p w14:paraId="3B3B8CB7" w14:textId="77777777" w:rsidR="002403A2" w:rsidRPr="00447994" w:rsidRDefault="002403A2" w:rsidP="002403A2">
            <w:pPr>
              <w:numPr>
                <w:ilvl w:val="0"/>
                <w:numId w:val="41"/>
              </w:numPr>
              <w:tabs>
                <w:tab w:val="left" w:pos="1247"/>
                <w:tab w:val="left" w:pos="1814"/>
                <w:tab w:val="left" w:pos="2381"/>
                <w:tab w:val="left" w:pos="2948"/>
                <w:tab w:val="left" w:pos="3515"/>
                <w:tab w:val="left" w:pos="4082"/>
              </w:tabs>
              <w:spacing w:before="40" w:after="40"/>
              <w:ind w:hanging="34"/>
              <w:rPr>
                <w:rFonts w:eastAsia="Times New Roman"/>
                <w:sz w:val="18"/>
                <w:szCs w:val="18"/>
                <w:lang w:val="es-ES_tradnl"/>
              </w:rPr>
            </w:pPr>
            <w:r w:rsidRPr="00447994">
              <w:rPr>
                <w:sz w:val="18"/>
                <w:szCs w:val="18"/>
                <w:lang w:val="es-ES_tradnl"/>
              </w:rPr>
              <w:t xml:space="preserve">un componente que contenga amianto </w:t>
            </w:r>
          </w:p>
          <w:p w14:paraId="76921AE6" w14:textId="77777777" w:rsidR="002403A2" w:rsidRPr="00447994" w:rsidRDefault="002403A2" w:rsidP="002403A2">
            <w:pPr>
              <w:numPr>
                <w:ilvl w:val="0"/>
                <w:numId w:val="41"/>
              </w:numPr>
              <w:tabs>
                <w:tab w:val="left" w:pos="1247"/>
                <w:tab w:val="left" w:pos="1814"/>
                <w:tab w:val="left" w:pos="2381"/>
                <w:tab w:val="left" w:pos="2948"/>
                <w:tab w:val="left" w:pos="3515"/>
                <w:tab w:val="left" w:pos="4082"/>
              </w:tabs>
              <w:spacing w:before="40" w:after="40"/>
              <w:ind w:hanging="34"/>
              <w:rPr>
                <w:rFonts w:eastAsia="Times New Roman"/>
                <w:sz w:val="18"/>
                <w:szCs w:val="18"/>
                <w:lang w:val="es-ES_tradnl"/>
              </w:rPr>
            </w:pPr>
            <w:r w:rsidRPr="00447994">
              <w:rPr>
                <w:sz w:val="18"/>
                <w:szCs w:val="18"/>
                <w:lang w:val="es-ES_tradnl"/>
              </w:rPr>
              <w:t xml:space="preserve">determinados circuitos impresos </w:t>
            </w:r>
          </w:p>
          <w:p w14:paraId="5E1EE243" w14:textId="77777777" w:rsidR="002403A2" w:rsidRPr="00447994" w:rsidRDefault="002403A2" w:rsidP="002403A2">
            <w:pPr>
              <w:numPr>
                <w:ilvl w:val="0"/>
                <w:numId w:val="41"/>
              </w:numPr>
              <w:tabs>
                <w:tab w:val="left" w:pos="1247"/>
                <w:tab w:val="left" w:pos="1814"/>
                <w:tab w:val="left" w:pos="2381"/>
                <w:tab w:val="left" w:pos="2948"/>
                <w:tab w:val="left" w:pos="3515"/>
                <w:tab w:val="left" w:pos="4082"/>
              </w:tabs>
              <w:spacing w:before="40" w:after="40"/>
              <w:ind w:hanging="34"/>
              <w:rPr>
                <w:rFonts w:eastAsia="Times New Roman"/>
                <w:sz w:val="18"/>
                <w:szCs w:val="18"/>
                <w:lang w:val="es-ES_tradnl"/>
              </w:rPr>
            </w:pPr>
            <w:r w:rsidRPr="00447994">
              <w:rPr>
                <w:sz w:val="18"/>
                <w:szCs w:val="18"/>
                <w:lang w:val="es-ES_tradnl"/>
              </w:rPr>
              <w:t>determinados dispositivos de visualización</w:t>
            </w:r>
          </w:p>
          <w:p w14:paraId="61DB1627" w14:textId="77777777" w:rsidR="002403A2" w:rsidRPr="00447994" w:rsidRDefault="002403A2" w:rsidP="002403A2">
            <w:pPr>
              <w:numPr>
                <w:ilvl w:val="0"/>
                <w:numId w:val="41"/>
              </w:numPr>
              <w:tabs>
                <w:tab w:val="left" w:pos="1247"/>
                <w:tab w:val="left" w:pos="1814"/>
                <w:tab w:val="left" w:pos="2381"/>
                <w:tab w:val="left" w:pos="2948"/>
                <w:tab w:val="left" w:pos="3515"/>
                <w:tab w:val="left" w:pos="4082"/>
              </w:tabs>
              <w:spacing w:before="40" w:after="40"/>
              <w:ind w:hanging="34"/>
              <w:rPr>
                <w:rFonts w:eastAsia="Times New Roman"/>
                <w:sz w:val="18"/>
                <w:szCs w:val="18"/>
                <w:lang w:val="es-ES_tradnl"/>
              </w:rPr>
            </w:pPr>
            <w:r w:rsidRPr="00447994">
              <w:rPr>
                <w:sz w:val="18"/>
                <w:szCs w:val="18"/>
                <w:lang w:val="es-ES_tradnl"/>
              </w:rPr>
              <w:t xml:space="preserve">determinados componentes de plástico que contengan un </w:t>
            </w:r>
            <w:proofErr w:type="spellStart"/>
            <w:r w:rsidRPr="00447994">
              <w:rPr>
                <w:sz w:val="18"/>
                <w:szCs w:val="18"/>
                <w:lang w:val="es-ES_tradnl"/>
              </w:rPr>
              <w:t>pirorretardante</w:t>
            </w:r>
            <w:proofErr w:type="spellEnd"/>
            <w:r w:rsidRPr="00447994">
              <w:rPr>
                <w:sz w:val="18"/>
                <w:szCs w:val="18"/>
                <w:lang w:val="es-ES_tradnl"/>
              </w:rPr>
              <w:t xml:space="preserve"> bromado </w:t>
            </w:r>
          </w:p>
          <w:p w14:paraId="2CEDD300" w14:textId="77777777" w:rsidR="002403A2" w:rsidRPr="00447994" w:rsidRDefault="002403A2" w:rsidP="002403A2">
            <w:pPr>
              <w:numPr>
                <w:ilvl w:val="0"/>
                <w:numId w:val="38"/>
              </w:numPr>
              <w:tabs>
                <w:tab w:val="left" w:pos="624"/>
                <w:tab w:val="left" w:pos="1247"/>
                <w:tab w:val="left" w:pos="1814"/>
                <w:tab w:val="left" w:pos="2381"/>
                <w:tab w:val="left" w:pos="2948"/>
                <w:tab w:val="left" w:pos="3515"/>
                <w:tab w:val="left" w:pos="4082"/>
              </w:tabs>
              <w:spacing w:before="40" w:after="40"/>
              <w:ind w:left="357" w:hanging="357"/>
              <w:rPr>
                <w:rFonts w:eastAsia="Times New Roman"/>
                <w:sz w:val="18"/>
                <w:szCs w:val="18"/>
                <w:lang w:val="es-ES_tradnl"/>
              </w:rPr>
            </w:pPr>
            <w:r w:rsidRPr="00447994">
              <w:rPr>
                <w:sz w:val="18"/>
                <w:szCs w:val="18"/>
                <w:lang w:val="es-ES_tradnl"/>
              </w:rPr>
              <w:t>Componentes de desecho de equipo eléctrico y electrónico que contengan constituyentes incluidos en el anexo I, o estén contaminados con ellos, en tal grado que esos componentes de desecho presenten alguna de las características enumeradas en el anexo III, salvo que estén contemplados en otra entrada de la lista A</w:t>
            </w:r>
          </w:p>
          <w:p w14:paraId="3AC47201" w14:textId="77777777" w:rsidR="002403A2" w:rsidRPr="00447994" w:rsidRDefault="002403A2" w:rsidP="002403A2">
            <w:pPr>
              <w:numPr>
                <w:ilvl w:val="0"/>
                <w:numId w:val="38"/>
              </w:numPr>
              <w:tabs>
                <w:tab w:val="left" w:pos="624"/>
                <w:tab w:val="left" w:pos="1247"/>
                <w:tab w:val="left" w:pos="1814"/>
                <w:tab w:val="left" w:pos="2381"/>
                <w:tab w:val="left" w:pos="2948"/>
                <w:tab w:val="left" w:pos="3515"/>
                <w:tab w:val="left" w:pos="4082"/>
              </w:tabs>
              <w:spacing w:before="40" w:after="40"/>
              <w:ind w:left="357" w:hanging="357"/>
              <w:rPr>
                <w:rFonts w:eastAsia="Times New Roman"/>
                <w:sz w:val="18"/>
                <w:szCs w:val="18"/>
                <w:lang w:val="es-ES_tradnl"/>
              </w:rPr>
            </w:pPr>
            <w:r w:rsidRPr="00447994">
              <w:rPr>
                <w:sz w:val="18"/>
                <w:szCs w:val="18"/>
                <w:lang w:val="es-ES_tradnl"/>
              </w:rPr>
              <w:t xml:space="preserve">Desechos resultantes del tratamiento de desechos de equipo eléctricos y electrónicos o de componentes de desecho de equipo eléctrico y electrónico que contengan constituyentes incluidos en el anexo I, o estén contaminados con ellos, en tal grado que esos desechos presenten alguna de las características enumeradas en el anexo III (por ejemplo, fragmentos resultantes del desmenuzamiento o el desmontaje), salvo que estén contemplados en otra entrada de la lista A </w:t>
            </w:r>
          </w:p>
        </w:tc>
      </w:tr>
    </w:tbl>
    <w:p w14:paraId="162F8A56" w14:textId="77777777" w:rsidR="002403A2" w:rsidRPr="00447994" w:rsidRDefault="002403A2" w:rsidP="002403A2">
      <w:pPr>
        <w:pStyle w:val="Normal-pool"/>
        <w:numPr>
          <w:ilvl w:val="0"/>
          <w:numId w:val="42"/>
        </w:numPr>
        <w:spacing w:before="240" w:after="120"/>
        <w:ind w:left="1247" w:firstLine="624"/>
        <w:rPr>
          <w:rFonts w:eastAsia="Times New Roman"/>
          <w:lang w:val="es-ES_tradnl"/>
        </w:rPr>
      </w:pPr>
      <w:r w:rsidRPr="00447994">
        <w:rPr>
          <w:i/>
          <w:iCs/>
          <w:lang w:val="es-ES_tradnl"/>
        </w:rPr>
        <w:lastRenderedPageBreak/>
        <w:t>Decide además</w:t>
      </w:r>
      <w:r w:rsidRPr="00447994">
        <w:rPr>
          <w:lang w:val="es-ES_tradnl"/>
        </w:rPr>
        <w:t xml:space="preserve"> añadir a la entrada A1180 del anexo VIII la siguiente nota a pie de página: “La entrada A1180 estará en vigor hasta el 31 de diciembre de 2024”;</w:t>
      </w:r>
    </w:p>
    <w:p w14:paraId="38DAAFA7" w14:textId="77777777" w:rsidR="002403A2" w:rsidRPr="00447994" w:rsidRDefault="002403A2" w:rsidP="002403A2">
      <w:pPr>
        <w:pStyle w:val="Normal-pool"/>
        <w:numPr>
          <w:ilvl w:val="0"/>
          <w:numId w:val="42"/>
        </w:numPr>
        <w:spacing w:after="120"/>
        <w:ind w:left="1247" w:firstLine="624"/>
        <w:rPr>
          <w:rFonts w:eastAsia="Times New Roman"/>
          <w:lang w:val="es-ES_tradnl"/>
        </w:rPr>
      </w:pPr>
      <w:r w:rsidRPr="00447994">
        <w:rPr>
          <w:i/>
          <w:iCs/>
          <w:lang w:val="es-ES_tradnl"/>
        </w:rPr>
        <w:t>Decide</w:t>
      </w:r>
      <w:r w:rsidRPr="00447994">
        <w:rPr>
          <w:lang w:val="es-ES_tradnl"/>
        </w:rPr>
        <w:t xml:space="preserve"> suprimir las entradas B1110 y B4030 del anexo IX del Convenio de Basilea;</w:t>
      </w:r>
    </w:p>
    <w:p w14:paraId="38916C2A" w14:textId="77777777" w:rsidR="002403A2" w:rsidRPr="00447994" w:rsidRDefault="002403A2" w:rsidP="002403A2">
      <w:pPr>
        <w:pStyle w:val="Normal-pool"/>
        <w:numPr>
          <w:ilvl w:val="0"/>
          <w:numId w:val="42"/>
        </w:numPr>
        <w:spacing w:after="120"/>
        <w:ind w:left="1247" w:firstLine="624"/>
        <w:rPr>
          <w:rFonts w:eastAsia="Times New Roman"/>
          <w:lang w:val="es-ES_tradnl"/>
        </w:rPr>
      </w:pPr>
      <w:r w:rsidRPr="00447994">
        <w:rPr>
          <w:i/>
          <w:iCs/>
          <w:lang w:val="es-ES_tradnl"/>
        </w:rPr>
        <w:t>Solicita</w:t>
      </w:r>
      <w:r w:rsidRPr="00447994">
        <w:rPr>
          <w:lang w:val="es-ES_tradnl"/>
        </w:rPr>
        <w:t xml:space="preserve"> al Depositario que comunique a todas las Partes la aprobación de las enmiendas enunciadas en la presente decisión el 30 de junio de 2024 para que estas enmiendas entren en vigor el 1 de enero de 2025, de conformidad con los apartados b) y c) del párrafo 2 del artículo 18 del Convenio.</w:t>
      </w:r>
    </w:p>
    <w:p w14:paraId="5E5F9B2A" w14:textId="5B894C33" w:rsidR="00F935A6" w:rsidRPr="00AD56CA" w:rsidRDefault="00F935A6" w:rsidP="002403A2">
      <w:pPr>
        <w:pStyle w:val="Normal-pool"/>
        <w:rPr>
          <w:lang w:val="es-ES_tradnl"/>
        </w:rPr>
      </w:pPr>
    </w:p>
    <w:sectPr w:rsidR="00F935A6" w:rsidRPr="00AD56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0D5DD" w14:textId="77777777" w:rsidR="009430E0" w:rsidRDefault="009430E0" w:rsidP="00162093">
      <w:r>
        <w:separator/>
      </w:r>
    </w:p>
  </w:endnote>
  <w:endnote w:type="continuationSeparator" w:id="0">
    <w:p w14:paraId="547B2C4A" w14:textId="77777777" w:rsidR="009430E0" w:rsidRDefault="009430E0" w:rsidP="00162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49151" w14:textId="77777777" w:rsidR="009430E0" w:rsidRDefault="009430E0" w:rsidP="00162093">
      <w:r>
        <w:separator/>
      </w:r>
    </w:p>
  </w:footnote>
  <w:footnote w:type="continuationSeparator" w:id="0">
    <w:p w14:paraId="01E3AB8C" w14:textId="77777777" w:rsidR="009430E0" w:rsidRDefault="009430E0" w:rsidP="00162093">
      <w:r>
        <w:continuationSeparator/>
      </w:r>
    </w:p>
  </w:footnote>
  <w:footnote w:id="1">
    <w:p w14:paraId="2358AEA9" w14:textId="77777777" w:rsidR="002403A2" w:rsidRPr="00122920" w:rsidRDefault="002403A2" w:rsidP="002403A2">
      <w:pPr>
        <w:pStyle w:val="Normal-pool"/>
        <w:spacing w:before="20" w:after="40"/>
        <w:ind w:left="1247"/>
        <w:rPr>
          <w:b/>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UNEP/CHW.15/13/Add.2, anexo.</w:t>
      </w:r>
    </w:p>
  </w:footnote>
  <w:footnote w:id="2">
    <w:p w14:paraId="1C315945" w14:textId="77777777" w:rsidR="002403A2" w:rsidRPr="00122920" w:rsidRDefault="002403A2" w:rsidP="002403A2">
      <w:pPr>
        <w:pStyle w:val="Normal-pool"/>
        <w:spacing w:before="20" w:after="40"/>
        <w:ind w:left="1247"/>
        <w:rPr>
          <w:sz w:val="18"/>
          <w:szCs w:val="18"/>
          <w:lang w:val="es-ES_tradnl"/>
        </w:rPr>
      </w:pPr>
      <w:r w:rsidRPr="00122920">
        <w:rPr>
          <w:rStyle w:val="FootnoteReference"/>
          <w:sz w:val="18"/>
          <w:lang w:val="es-ES_tradnl"/>
        </w:rPr>
        <w:footnoteRef/>
      </w:r>
      <w:r w:rsidRPr="00122920">
        <w:rPr>
          <w:sz w:val="18"/>
          <w:szCs w:val="18"/>
          <w:lang w:val="es-ES_tradnl"/>
        </w:rPr>
        <w:t xml:space="preserve"> Esta entrada se hará efectiva el 1 de enero de 2025.</w:t>
      </w:r>
    </w:p>
  </w:footnote>
  <w:footnote w:id="3">
    <w:p w14:paraId="2C3A77AC" w14:textId="77777777" w:rsidR="002403A2" w:rsidRPr="00122920" w:rsidRDefault="002403A2" w:rsidP="002403A2">
      <w:pPr>
        <w:pStyle w:val="Normal-pool"/>
        <w:spacing w:before="20" w:after="40"/>
        <w:ind w:left="1247"/>
        <w:rPr>
          <w:sz w:val="18"/>
          <w:szCs w:val="18"/>
          <w:lang w:val="es-ES_tradnl"/>
        </w:rPr>
      </w:pPr>
      <w:r w:rsidRPr="00122920">
        <w:rPr>
          <w:rStyle w:val="FootnoteReference"/>
          <w:sz w:val="18"/>
          <w:lang w:val="es-ES_tradnl"/>
        </w:rPr>
        <w:footnoteRef/>
      </w:r>
      <w:r w:rsidRPr="00122920">
        <w:rPr>
          <w:sz w:val="18"/>
          <w:szCs w:val="18"/>
          <w:lang w:val="es-ES_tradnl"/>
        </w:rPr>
        <w:t xml:space="preserve"> Véase la correspondiente entrada A1181 de la lista A del anexo VIII.</w:t>
      </w:r>
    </w:p>
  </w:footnote>
  <w:footnote w:id="4">
    <w:p w14:paraId="5A0DBF86" w14:textId="77777777" w:rsidR="002403A2" w:rsidRPr="00122920" w:rsidRDefault="002403A2" w:rsidP="002403A2">
      <w:pPr>
        <w:pStyle w:val="Normal-pool"/>
        <w:spacing w:before="20" w:after="40"/>
        <w:ind w:left="1247"/>
        <w:rPr>
          <w:sz w:val="18"/>
          <w:szCs w:val="18"/>
          <w:lang w:val="es-ES_tradnl"/>
        </w:rPr>
      </w:pPr>
      <w:r w:rsidRPr="00122920">
        <w:rPr>
          <w:rStyle w:val="FootnoteReference"/>
          <w:sz w:val="18"/>
          <w:lang w:val="es-ES_tradnl"/>
        </w:rPr>
        <w:footnoteRef/>
      </w:r>
      <w:r w:rsidRPr="00122920">
        <w:rPr>
          <w:sz w:val="18"/>
          <w:szCs w:val="18"/>
          <w:lang w:val="es-ES_tradnl"/>
        </w:rPr>
        <w:t xml:space="preserve"> Esta entrada se hará efectiva el 1 de enero de 2025. </w:t>
      </w:r>
    </w:p>
  </w:footnote>
  <w:footnote w:id="5">
    <w:p w14:paraId="5C7960CD" w14:textId="77777777" w:rsidR="002403A2" w:rsidRPr="00122920" w:rsidRDefault="002403A2" w:rsidP="002403A2">
      <w:pPr>
        <w:pStyle w:val="Normal-pool"/>
        <w:spacing w:before="20" w:after="40"/>
        <w:ind w:left="1247"/>
        <w:rPr>
          <w:sz w:val="18"/>
          <w:szCs w:val="18"/>
          <w:lang w:val="es-ES_tradnl"/>
        </w:rPr>
      </w:pPr>
      <w:r w:rsidRPr="00122920">
        <w:rPr>
          <w:rStyle w:val="FootnoteReference"/>
          <w:sz w:val="18"/>
          <w:lang w:val="es-ES_tradnl"/>
        </w:rPr>
        <w:footnoteRef/>
      </w:r>
      <w:r w:rsidRPr="00122920">
        <w:rPr>
          <w:sz w:val="18"/>
          <w:szCs w:val="18"/>
          <w:lang w:val="es-ES_tradnl"/>
        </w:rPr>
        <w:t xml:space="preserve"> Los bifenilos policlorados y bifenilos </w:t>
      </w:r>
      <w:proofErr w:type="spellStart"/>
      <w:r w:rsidRPr="00122920">
        <w:rPr>
          <w:sz w:val="18"/>
          <w:szCs w:val="18"/>
          <w:lang w:val="es-ES_tradnl"/>
        </w:rPr>
        <w:t>polibromados</w:t>
      </w:r>
      <w:proofErr w:type="spellEnd"/>
      <w:r w:rsidRPr="00122920">
        <w:rPr>
          <w:sz w:val="18"/>
          <w:szCs w:val="18"/>
          <w:lang w:val="es-ES_tradnl"/>
        </w:rPr>
        <w:t xml:space="preserve"> están presentes en una concentración igual o superior a 50 mg/kg en un equipo, en un componente o en los desechos resultantes del tratamiento de desechos de equipo eléctricos y electrónicos o de componentes de desecho de equipo eléctrico y electrónico.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39AC"/>
    <w:multiLevelType w:val="hybridMultilevel"/>
    <w:tmpl w:val="923203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A0471A"/>
    <w:multiLevelType w:val="hybridMultilevel"/>
    <w:tmpl w:val="36FCE92C"/>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B758D2"/>
    <w:multiLevelType w:val="hybridMultilevel"/>
    <w:tmpl w:val="E84EB2C6"/>
    <w:lvl w:ilvl="0" w:tplc="F57297D4">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465D89"/>
    <w:multiLevelType w:val="hybridMultilevel"/>
    <w:tmpl w:val="F6664B3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103C385C">
      <w:start w:val="1"/>
      <w:numFmt w:val="decimal"/>
      <w:lvlText w:val="%7."/>
      <w:lvlJc w:val="left"/>
      <w:pPr>
        <w:ind w:left="6911" w:hanging="360"/>
      </w:pPr>
      <w:rPr>
        <w:i w:val="0"/>
        <w:iCs w:val="0"/>
      </w:r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1D4E70C1"/>
    <w:multiLevelType w:val="hybridMultilevel"/>
    <w:tmpl w:val="03287C42"/>
    <w:lvl w:ilvl="0" w:tplc="AD5C50D0">
      <w:start w:val="1"/>
      <w:numFmt w:val="lowerRoman"/>
      <w:lvlText w:val="%1)"/>
      <w:lvlJc w:val="left"/>
      <w:pPr>
        <w:ind w:left="720" w:hanging="360"/>
      </w:pPr>
      <w:rPr>
        <w:rFonts w:hint="default"/>
        <w:b w:val="0"/>
        <w:i w:val="0"/>
        <w:caps w:val="0"/>
        <w:strike w:val="0"/>
        <w:dstrike w:val="0"/>
        <w:vanish w:val="0"/>
        <w:color w:val="000000"/>
        <w:sz w:val="20"/>
        <w:szCs w:val="20"/>
        <w:vertAlign w:val="baseline"/>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6" w15:restartNumberingAfterBreak="0">
    <w:nsid w:val="1D6D191A"/>
    <w:multiLevelType w:val="hybridMultilevel"/>
    <w:tmpl w:val="A686E3CA"/>
    <w:lvl w:ilvl="0" w:tplc="040A0017">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7B2371"/>
    <w:multiLevelType w:val="hybridMultilevel"/>
    <w:tmpl w:val="6CF0A7CC"/>
    <w:lvl w:ilvl="0" w:tplc="FFFFFFFF">
      <w:start w:val="1"/>
      <w:numFmt w:val="lowerLetter"/>
      <w:lvlText w:val="(%1)"/>
      <w:lvlJc w:val="left"/>
      <w:pPr>
        <w:ind w:left="2591" w:hanging="360"/>
      </w:pPr>
      <w:rPr>
        <w:rFonts w:hint="default"/>
      </w:rPr>
    </w:lvl>
    <w:lvl w:ilvl="1" w:tplc="040A0017">
      <w:start w:val="1"/>
      <w:numFmt w:val="lowerLetter"/>
      <w:lvlText w:val="%2)"/>
      <w:lvlJc w:val="left"/>
      <w:pPr>
        <w:ind w:left="720" w:hanging="360"/>
      </w:p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8" w15:restartNumberingAfterBreak="0">
    <w:nsid w:val="22BF3B93"/>
    <w:multiLevelType w:val="hybridMultilevel"/>
    <w:tmpl w:val="1C764CEA"/>
    <w:lvl w:ilvl="0" w:tplc="FFFFFFFF">
      <w:start w:val="1"/>
      <w:numFmt w:val="decimal"/>
      <w:lvlText w:val="%1."/>
      <w:lvlJc w:val="left"/>
      <w:pPr>
        <w:ind w:left="3215" w:hanging="360"/>
      </w:pPr>
      <w:rPr>
        <w:i w:val="0"/>
        <w:iCs w:val="0"/>
      </w:rPr>
    </w:lvl>
    <w:lvl w:ilvl="1" w:tplc="040A0017">
      <w:start w:val="1"/>
      <w:numFmt w:val="lowerLetter"/>
      <w:lvlText w:val="%2)"/>
      <w:lvlJc w:val="left"/>
      <w:pPr>
        <w:ind w:left="720" w:hanging="360"/>
      </w:pPr>
    </w:lvl>
    <w:lvl w:ilvl="2" w:tplc="FFFFFFFF" w:tentative="1">
      <w:start w:val="1"/>
      <w:numFmt w:val="lowerRoman"/>
      <w:lvlText w:val="%3."/>
      <w:lvlJc w:val="right"/>
      <w:pPr>
        <w:ind w:left="4655" w:hanging="180"/>
      </w:p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tentative="1">
      <w:start w:val="1"/>
      <w:numFmt w:val="decimal"/>
      <w:lvlText w:val="%7."/>
      <w:lvlJc w:val="left"/>
      <w:pPr>
        <w:ind w:left="7535" w:hanging="360"/>
      </w:p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9" w15:restartNumberingAfterBreak="0">
    <w:nsid w:val="23C62AE9"/>
    <w:multiLevelType w:val="hybridMultilevel"/>
    <w:tmpl w:val="1CEE5758"/>
    <w:lvl w:ilvl="0" w:tplc="F8B4A356">
      <w:start w:val="1"/>
      <w:numFmt w:val="decimal"/>
      <w:lvlText w:val="%1."/>
      <w:lvlJc w:val="left"/>
      <w:pPr>
        <w:ind w:left="3215" w:hanging="360"/>
      </w:pPr>
      <w:rPr>
        <w:i w:val="0"/>
        <w:iCs w:val="0"/>
      </w:rPr>
    </w:lvl>
    <w:lvl w:ilvl="1" w:tplc="040A0017">
      <w:start w:val="1"/>
      <w:numFmt w:val="lowerLetter"/>
      <w:lvlText w:val="%2)"/>
      <w:lvlJc w:val="left"/>
      <w:pPr>
        <w:ind w:left="720"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0"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1" w15:restartNumberingAfterBreak="0">
    <w:nsid w:val="28CD04B2"/>
    <w:multiLevelType w:val="hybridMultilevel"/>
    <w:tmpl w:val="EE668498"/>
    <w:lvl w:ilvl="0" w:tplc="FFFFFFFF">
      <w:start w:val="1"/>
      <w:numFmt w:val="lowerLetter"/>
      <w:lvlText w:val="(%1)"/>
      <w:lvlJc w:val="left"/>
      <w:pPr>
        <w:ind w:left="2591" w:hanging="360"/>
      </w:pPr>
      <w:rPr>
        <w:rFonts w:hint="default"/>
      </w:rPr>
    </w:lvl>
    <w:lvl w:ilvl="1" w:tplc="040A0017">
      <w:start w:val="1"/>
      <w:numFmt w:val="lowerLetter"/>
      <w:lvlText w:val="%2)"/>
      <w:lvlJc w:val="left"/>
      <w:pPr>
        <w:ind w:left="720" w:hanging="360"/>
      </w:p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12"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ACB3B27"/>
    <w:multiLevelType w:val="hybridMultilevel"/>
    <w:tmpl w:val="C63A47B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3C42C8"/>
    <w:multiLevelType w:val="hybridMultilevel"/>
    <w:tmpl w:val="F9AAAC82"/>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7"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0B640F8"/>
    <w:multiLevelType w:val="hybridMultilevel"/>
    <w:tmpl w:val="6AC22BCE"/>
    <w:lvl w:ilvl="0" w:tplc="FFFFFFFF">
      <w:start w:val="1"/>
      <w:numFmt w:val="lowerLetter"/>
      <w:lvlText w:val="(%1)"/>
      <w:lvlJc w:val="left"/>
      <w:pPr>
        <w:ind w:left="2591" w:hanging="360"/>
      </w:pPr>
      <w:rPr>
        <w:rFonts w:hint="default"/>
      </w:rPr>
    </w:lvl>
    <w:lvl w:ilvl="1" w:tplc="040A0017">
      <w:start w:val="1"/>
      <w:numFmt w:val="lowerLetter"/>
      <w:lvlText w:val="%2)"/>
      <w:lvlJc w:val="left"/>
      <w:pPr>
        <w:ind w:left="720" w:hanging="360"/>
      </w:p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20" w15:restartNumberingAfterBreak="0">
    <w:nsid w:val="4E182B7C"/>
    <w:multiLevelType w:val="hybridMultilevel"/>
    <w:tmpl w:val="EDBAABF4"/>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F6F1F46"/>
    <w:multiLevelType w:val="hybridMultilevel"/>
    <w:tmpl w:val="CB32D2E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F832B43"/>
    <w:multiLevelType w:val="hybridMultilevel"/>
    <w:tmpl w:val="6A107EC6"/>
    <w:lvl w:ilvl="0" w:tplc="040A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11C554E"/>
    <w:multiLevelType w:val="hybridMultilevel"/>
    <w:tmpl w:val="78689228"/>
    <w:lvl w:ilvl="0" w:tplc="040A0017">
      <w:start w:val="1"/>
      <w:numFmt w:val="lowerLetter"/>
      <w:lvlText w:val="%1)"/>
      <w:lvlJc w:val="left"/>
      <w:pPr>
        <w:ind w:left="720"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25" w15:restartNumberingAfterBreak="0">
    <w:nsid w:val="54FA404E"/>
    <w:multiLevelType w:val="hybridMultilevel"/>
    <w:tmpl w:val="BF964E18"/>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84D4F49"/>
    <w:multiLevelType w:val="hybridMultilevel"/>
    <w:tmpl w:val="433A98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CE75C50"/>
    <w:multiLevelType w:val="hybridMultilevel"/>
    <w:tmpl w:val="433A9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FA22318"/>
    <w:multiLevelType w:val="hybridMultilevel"/>
    <w:tmpl w:val="7D2A20EE"/>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30" w15:restartNumberingAfterBreak="0">
    <w:nsid w:val="66B46048"/>
    <w:multiLevelType w:val="hybridMultilevel"/>
    <w:tmpl w:val="299A6DB6"/>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94" w:hanging="360"/>
      </w:pPr>
    </w:lvl>
    <w:lvl w:ilvl="2" w:tplc="0809001B" w:tentative="1">
      <w:start w:val="1"/>
      <w:numFmt w:val="lowerRoman"/>
      <w:lvlText w:val="%3."/>
      <w:lvlJc w:val="right"/>
      <w:pPr>
        <w:ind w:left="2214" w:hanging="180"/>
      </w:pPr>
    </w:lvl>
    <w:lvl w:ilvl="3" w:tplc="0809000F" w:tentative="1">
      <w:start w:val="1"/>
      <w:numFmt w:val="decimal"/>
      <w:lvlText w:val="%4."/>
      <w:lvlJc w:val="left"/>
      <w:pPr>
        <w:ind w:left="2934" w:hanging="360"/>
      </w:pPr>
    </w:lvl>
    <w:lvl w:ilvl="4" w:tplc="08090019" w:tentative="1">
      <w:start w:val="1"/>
      <w:numFmt w:val="lowerLetter"/>
      <w:lvlText w:val="%5."/>
      <w:lvlJc w:val="left"/>
      <w:pPr>
        <w:ind w:left="3654" w:hanging="360"/>
      </w:pPr>
    </w:lvl>
    <w:lvl w:ilvl="5" w:tplc="0809001B" w:tentative="1">
      <w:start w:val="1"/>
      <w:numFmt w:val="lowerRoman"/>
      <w:lvlText w:val="%6."/>
      <w:lvlJc w:val="right"/>
      <w:pPr>
        <w:ind w:left="4374" w:hanging="180"/>
      </w:pPr>
    </w:lvl>
    <w:lvl w:ilvl="6" w:tplc="0809000F" w:tentative="1">
      <w:start w:val="1"/>
      <w:numFmt w:val="decimal"/>
      <w:lvlText w:val="%7."/>
      <w:lvlJc w:val="left"/>
      <w:pPr>
        <w:ind w:left="5094" w:hanging="360"/>
      </w:pPr>
    </w:lvl>
    <w:lvl w:ilvl="7" w:tplc="08090019" w:tentative="1">
      <w:start w:val="1"/>
      <w:numFmt w:val="lowerLetter"/>
      <w:lvlText w:val="%8."/>
      <w:lvlJc w:val="left"/>
      <w:pPr>
        <w:ind w:left="5814" w:hanging="360"/>
      </w:pPr>
    </w:lvl>
    <w:lvl w:ilvl="8" w:tplc="0809001B" w:tentative="1">
      <w:start w:val="1"/>
      <w:numFmt w:val="lowerRoman"/>
      <w:lvlText w:val="%9."/>
      <w:lvlJc w:val="right"/>
      <w:pPr>
        <w:ind w:left="6534" w:hanging="180"/>
      </w:pPr>
    </w:lvl>
  </w:abstractNum>
  <w:abstractNum w:abstractNumId="31" w15:restartNumberingAfterBreak="0">
    <w:nsid w:val="66C85822"/>
    <w:multiLevelType w:val="hybridMultilevel"/>
    <w:tmpl w:val="2FECD330"/>
    <w:lvl w:ilvl="0" w:tplc="FFFFFFFF">
      <w:start w:val="1"/>
      <w:numFmt w:val="lowerLetter"/>
      <w:lvlText w:val="(%1)"/>
      <w:lvlJc w:val="left"/>
      <w:pPr>
        <w:ind w:left="2591" w:hanging="360"/>
      </w:pPr>
      <w:rPr>
        <w:rFonts w:hint="default"/>
      </w:rPr>
    </w:lvl>
    <w:lvl w:ilvl="1" w:tplc="040A0017">
      <w:start w:val="1"/>
      <w:numFmt w:val="lowerLetter"/>
      <w:lvlText w:val="%2)"/>
      <w:lvlJc w:val="left"/>
      <w:pPr>
        <w:ind w:left="720" w:hanging="360"/>
      </w:p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2"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241682"/>
    <w:multiLevelType w:val="hybridMultilevel"/>
    <w:tmpl w:val="FB1861BE"/>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0257D47"/>
    <w:multiLevelType w:val="hybridMultilevel"/>
    <w:tmpl w:val="724E8158"/>
    <w:lvl w:ilvl="0" w:tplc="FFFFFFFF">
      <w:start w:val="1"/>
      <w:numFmt w:val="lowerLetter"/>
      <w:lvlText w:val="(%1)"/>
      <w:lvlJc w:val="left"/>
      <w:pPr>
        <w:ind w:left="2591" w:hanging="360"/>
      </w:pPr>
      <w:rPr>
        <w:rFonts w:hint="default"/>
      </w:rPr>
    </w:lvl>
    <w:lvl w:ilvl="1" w:tplc="040A0017">
      <w:start w:val="1"/>
      <w:numFmt w:val="lowerLetter"/>
      <w:lvlText w:val="%2)"/>
      <w:lvlJc w:val="left"/>
      <w:pPr>
        <w:ind w:left="720" w:hanging="360"/>
      </w:p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6" w15:restartNumberingAfterBreak="0">
    <w:nsid w:val="70C6286A"/>
    <w:multiLevelType w:val="hybridMultilevel"/>
    <w:tmpl w:val="923203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3654B96"/>
    <w:multiLevelType w:val="hybridMultilevel"/>
    <w:tmpl w:val="52C82A9A"/>
    <w:lvl w:ilvl="0" w:tplc="FFFFFFFF">
      <w:start w:val="1"/>
      <w:numFmt w:val="lowerLetter"/>
      <w:lvlText w:val="(%1)"/>
      <w:lvlJc w:val="left"/>
      <w:pPr>
        <w:ind w:left="2591" w:hanging="360"/>
      </w:pPr>
      <w:rPr>
        <w:rFonts w:hint="default"/>
      </w:rPr>
    </w:lvl>
    <w:lvl w:ilvl="1" w:tplc="040A0017">
      <w:start w:val="1"/>
      <w:numFmt w:val="lowerLetter"/>
      <w:lvlText w:val="%2)"/>
      <w:lvlJc w:val="left"/>
      <w:pPr>
        <w:ind w:left="720" w:hanging="360"/>
      </w:p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9" w15:restartNumberingAfterBreak="0">
    <w:nsid w:val="75657F53"/>
    <w:multiLevelType w:val="hybridMultilevel"/>
    <w:tmpl w:val="7E062F5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C1F1799"/>
    <w:multiLevelType w:val="hybridMultilevel"/>
    <w:tmpl w:val="47F4D202"/>
    <w:lvl w:ilvl="0" w:tplc="FFFFFFFF">
      <w:start w:val="1"/>
      <w:numFmt w:val="lowerLetter"/>
      <w:lvlText w:val="(%1)"/>
      <w:lvlJc w:val="left"/>
      <w:pPr>
        <w:ind w:left="2591" w:hanging="360"/>
      </w:pPr>
      <w:rPr>
        <w:rFonts w:hint="default"/>
      </w:rPr>
    </w:lvl>
    <w:lvl w:ilvl="1" w:tplc="040A0017">
      <w:start w:val="1"/>
      <w:numFmt w:val="lowerLetter"/>
      <w:lvlText w:val="%2)"/>
      <w:lvlJc w:val="left"/>
      <w:pPr>
        <w:ind w:left="720" w:hanging="360"/>
      </w:p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41" w15:restartNumberingAfterBreak="0">
    <w:nsid w:val="7F2865FB"/>
    <w:multiLevelType w:val="hybridMultilevel"/>
    <w:tmpl w:val="BB428C82"/>
    <w:lvl w:ilvl="0" w:tplc="0809000F">
      <w:start w:val="1"/>
      <w:numFmt w:val="decimal"/>
      <w:lvlText w:val="%1."/>
      <w:lvlJc w:val="left"/>
      <w:pPr>
        <w:ind w:left="3215" w:hanging="360"/>
      </w:pPr>
    </w:lvl>
    <w:lvl w:ilvl="1" w:tplc="040A0017">
      <w:start w:val="1"/>
      <w:numFmt w:val="lowerLetter"/>
      <w:lvlText w:val="%2)"/>
      <w:lvlJc w:val="left"/>
      <w:pPr>
        <w:ind w:left="720"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2139563191">
    <w:abstractNumId w:val="18"/>
  </w:num>
  <w:num w:numId="2" w16cid:durableId="856044302">
    <w:abstractNumId w:val="21"/>
  </w:num>
  <w:num w:numId="3" w16cid:durableId="462120716">
    <w:abstractNumId w:val="23"/>
  </w:num>
  <w:num w:numId="4" w16cid:durableId="789864886">
    <w:abstractNumId w:val="2"/>
  </w:num>
  <w:num w:numId="5" w16cid:durableId="1728645053">
    <w:abstractNumId w:val="27"/>
  </w:num>
  <w:num w:numId="6" w16cid:durableId="85813326">
    <w:abstractNumId w:val="34"/>
  </w:num>
  <w:num w:numId="7" w16cid:durableId="1191188355">
    <w:abstractNumId w:val="29"/>
  </w:num>
  <w:num w:numId="8" w16cid:durableId="999232160">
    <w:abstractNumId w:val="39"/>
  </w:num>
  <w:num w:numId="9" w16cid:durableId="1014069525">
    <w:abstractNumId w:val="1"/>
  </w:num>
  <w:num w:numId="10" w16cid:durableId="1870412707">
    <w:abstractNumId w:val="24"/>
  </w:num>
  <w:num w:numId="11" w16cid:durableId="841354719">
    <w:abstractNumId w:val="12"/>
  </w:num>
  <w:num w:numId="12" w16cid:durableId="1748526776">
    <w:abstractNumId w:val="3"/>
  </w:num>
  <w:num w:numId="13" w16cid:durableId="587926112">
    <w:abstractNumId w:val="37"/>
  </w:num>
  <w:num w:numId="14" w16cid:durableId="858080661">
    <w:abstractNumId w:val="25"/>
  </w:num>
  <w:num w:numId="15" w16cid:durableId="972829247">
    <w:abstractNumId w:val="6"/>
  </w:num>
  <w:num w:numId="16" w16cid:durableId="561675094">
    <w:abstractNumId w:val="33"/>
  </w:num>
  <w:num w:numId="17" w16cid:durableId="1489244769">
    <w:abstractNumId w:val="13"/>
  </w:num>
  <w:num w:numId="18" w16cid:durableId="1778714523">
    <w:abstractNumId w:val="10"/>
  </w:num>
  <w:num w:numId="19" w16cid:durableId="1754861326">
    <w:abstractNumId w:val="16"/>
  </w:num>
  <w:num w:numId="20" w16cid:durableId="543106076">
    <w:abstractNumId w:val="14"/>
  </w:num>
  <w:num w:numId="21" w16cid:durableId="152643211">
    <w:abstractNumId w:val="9"/>
  </w:num>
  <w:num w:numId="22" w16cid:durableId="1578242278">
    <w:abstractNumId w:val="41"/>
  </w:num>
  <w:num w:numId="23" w16cid:durableId="1120296807">
    <w:abstractNumId w:val="0"/>
  </w:num>
  <w:num w:numId="24" w16cid:durableId="980039531">
    <w:abstractNumId w:val="36"/>
  </w:num>
  <w:num w:numId="25" w16cid:durableId="932201763">
    <w:abstractNumId w:val="22"/>
  </w:num>
  <w:num w:numId="26" w16cid:durableId="336153331">
    <w:abstractNumId w:val="26"/>
  </w:num>
  <w:num w:numId="27" w16cid:durableId="295767173">
    <w:abstractNumId w:val="30"/>
  </w:num>
  <w:num w:numId="28" w16cid:durableId="1903828338">
    <w:abstractNumId w:val="35"/>
  </w:num>
  <w:num w:numId="29" w16cid:durableId="1526821067">
    <w:abstractNumId w:val="19"/>
  </w:num>
  <w:num w:numId="30" w16cid:durableId="1730306811">
    <w:abstractNumId w:val="4"/>
  </w:num>
  <w:num w:numId="31" w16cid:durableId="76291601">
    <w:abstractNumId w:val="7"/>
  </w:num>
  <w:num w:numId="32" w16cid:durableId="390078842">
    <w:abstractNumId w:val="8"/>
  </w:num>
  <w:num w:numId="33" w16cid:durableId="65345120">
    <w:abstractNumId w:val="31"/>
  </w:num>
  <w:num w:numId="34" w16cid:durableId="205533918">
    <w:abstractNumId w:val="11"/>
  </w:num>
  <w:num w:numId="35" w16cid:durableId="586311273">
    <w:abstractNumId w:val="38"/>
  </w:num>
  <w:num w:numId="36" w16cid:durableId="87967618">
    <w:abstractNumId w:val="5"/>
  </w:num>
  <w:num w:numId="37" w16cid:durableId="70465405">
    <w:abstractNumId w:val="40"/>
  </w:num>
  <w:num w:numId="38" w16cid:durableId="1328828096">
    <w:abstractNumId w:val="17"/>
  </w:num>
  <w:num w:numId="39" w16cid:durableId="1406106348">
    <w:abstractNumId w:val="15"/>
  </w:num>
  <w:num w:numId="40" w16cid:durableId="263536115">
    <w:abstractNumId w:val="20"/>
  </w:num>
  <w:num w:numId="41" w16cid:durableId="1372731649">
    <w:abstractNumId w:val="32"/>
  </w:num>
  <w:num w:numId="42" w16cid:durableId="6725343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093"/>
    <w:rsid w:val="000728FB"/>
    <w:rsid w:val="00162093"/>
    <w:rsid w:val="002403A2"/>
    <w:rsid w:val="00245BBD"/>
    <w:rsid w:val="002F78B7"/>
    <w:rsid w:val="003C0CF7"/>
    <w:rsid w:val="003E56FA"/>
    <w:rsid w:val="0067579D"/>
    <w:rsid w:val="007B69C9"/>
    <w:rsid w:val="00836B73"/>
    <w:rsid w:val="009430E0"/>
    <w:rsid w:val="00A077D7"/>
    <w:rsid w:val="00A20275"/>
    <w:rsid w:val="00A83FA0"/>
    <w:rsid w:val="00AD56CA"/>
    <w:rsid w:val="00B909A9"/>
    <w:rsid w:val="00C84536"/>
    <w:rsid w:val="00D07464"/>
    <w:rsid w:val="00E13BF6"/>
    <w:rsid w:val="00F8649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62A50"/>
  <w15:chartTrackingRefBased/>
  <w15:docId w15:val="{5CFD338D-51B9-427C-BABF-37F7EB91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C0CF7"/>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US"/>
    </w:rPr>
  </w:style>
  <w:style w:type="paragraph" w:customStyle="1" w:styleId="CH2">
    <w:name w:val="CH2"/>
    <w:next w:val="Normal"/>
    <w:link w:val="CH2Char"/>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eastAsia="en-US"/>
    </w:rPr>
  </w:style>
  <w:style w:type="character" w:styleId="Hyperlink">
    <w:name w:val="Hyperlink"/>
    <w:uiPriority w:val="99"/>
    <w:unhideWhenUsed/>
    <w:rsid w:val="00162093"/>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162093"/>
    <w:rPr>
      <w:szCs w:val="18"/>
      <w:vertAlign w:val="superscript"/>
    </w:rPr>
  </w:style>
  <w:style w:type="paragraph" w:customStyle="1" w:styleId="Normal-pool">
    <w:name w:val="Normal-pool"/>
    <w:link w:val="Normal-poolChar"/>
    <w:qFormat/>
    <w:rsid w:val="00162093"/>
    <w:pPr>
      <w:tabs>
        <w:tab w:val="left" w:pos="624"/>
        <w:tab w:val="left" w:pos="1247"/>
        <w:tab w:val="left" w:pos="1814"/>
      </w:tabs>
      <w:spacing w:after="0" w:line="240" w:lineRule="auto"/>
    </w:pPr>
    <w:rPr>
      <w:rFonts w:ascii="Times New Roman" w:eastAsiaTheme="minorHAnsi" w:hAnsi="Times New Roman" w:cs="Times New Roman"/>
      <w:sz w:val="20"/>
      <w:szCs w:val="20"/>
      <w:lang w:eastAsia="en-US"/>
    </w:rPr>
  </w:style>
  <w:style w:type="character" w:customStyle="1" w:styleId="Normal-poolChar">
    <w:name w:val="Normal-pool Char"/>
    <w:link w:val="Normal-pool"/>
    <w:locked/>
    <w:rsid w:val="00162093"/>
    <w:rPr>
      <w:rFonts w:ascii="Times New Roman" w:eastAsiaTheme="minorHAnsi" w:hAnsi="Times New Roman" w:cs="Times New Roman"/>
      <w:sz w:val="20"/>
      <w:szCs w:val="20"/>
      <w:lang w:eastAsia="en-US"/>
    </w:rPr>
  </w:style>
  <w:style w:type="character" w:customStyle="1" w:styleId="CH2Char">
    <w:name w:val="CH2 Char"/>
    <w:link w:val="CH2"/>
    <w:rsid w:val="00162093"/>
    <w:rPr>
      <w:rFonts w:ascii="Times New Roman" w:eastAsiaTheme="minorHAnsi" w:hAnsi="Times New Roman" w:cs="Times New Roman"/>
      <w:b/>
      <w:sz w:val="24"/>
      <w:szCs w:val="24"/>
      <w:lang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162093"/>
    <w:pPr>
      <w:spacing w:before="120" w:line="240" w:lineRule="exact"/>
    </w:pPr>
    <w:rPr>
      <w:szCs w:val="18"/>
      <w:vertAlign w:val="superscript"/>
    </w:rPr>
  </w:style>
  <w:style w:type="paragraph" w:customStyle="1" w:styleId="NormalNonumber">
    <w:name w:val="Normal_No_number"/>
    <w:basedOn w:val="Normal-pool"/>
    <w:qFormat/>
    <w:rsid w:val="00A83FA0"/>
    <w:pPr>
      <w:spacing w:after="120"/>
      <w:ind w:left="1247"/>
    </w:pPr>
  </w:style>
  <w:style w:type="paragraph" w:customStyle="1" w:styleId="CH4">
    <w:name w:val="CH4"/>
    <w:next w:val="Normal"/>
    <w:rsid w:val="00E13BF6"/>
    <w:pPr>
      <w:keepNext/>
      <w:keepLines/>
      <w:tabs>
        <w:tab w:val="right" w:pos="851"/>
        <w:tab w:val="left" w:pos="1247"/>
      </w:tabs>
      <w:suppressAutoHyphens/>
      <w:spacing w:before="120" w:after="120" w:line="240" w:lineRule="auto"/>
      <w:ind w:left="1247" w:right="284" w:hanging="1247"/>
    </w:pPr>
    <w:rPr>
      <w:rFonts w:ascii="Times New Roman" w:eastAsiaTheme="minorHAnsi" w:hAnsi="Times New Roman" w:cs="Times New Roman"/>
      <w:b/>
      <w:sz w:val="20"/>
      <w:szCs w:val="20"/>
      <w:lang w:eastAsia="en-US"/>
    </w:rPr>
  </w:style>
  <w:style w:type="character" w:customStyle="1" w:styleId="footnote">
    <w:name w:val="footnote"/>
    <w:aliases w:val="reference,16,Point,Superscript,61,reference1,68"/>
    <w:semiHidden/>
    <w:rsid w:val="00E13BF6"/>
    <w:rPr>
      <w:rFonts w:ascii="Times New Roman" w:hAnsi="Times New Roman" w:cs="Times New Roman" w:hint="default"/>
      <w:color w:val="auto"/>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682</Words>
  <Characters>3888</Characters>
  <Application>Microsoft Office Word</Application>
  <DocSecurity>0</DocSecurity>
  <Lines>32</Lines>
  <Paragraphs>9</Paragraphs>
  <ScaleCrop>false</ScaleCrop>
  <Company/>
  <LinksUpToDate>false</LinksUpToDate>
  <CharactersWithSpaces>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2023-05-22T13:27:00Z</dcterms:created>
  <dcterms:modified xsi:type="dcterms:W3CDTF">2023-05-22T13:27:00Z</dcterms:modified>
</cp:coreProperties>
</file>