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96AE3" w14:textId="77777777" w:rsidR="002E3CE2" w:rsidRPr="00DE0F03" w:rsidRDefault="002E3CE2" w:rsidP="002E3CE2">
      <w:pPr>
        <w:pStyle w:val="Normalnumber"/>
        <w:tabs>
          <w:tab w:val="clear" w:pos="1247"/>
          <w:tab w:val="clear" w:pos="1814"/>
          <w:tab w:val="clear" w:pos="2381"/>
          <w:tab w:val="clear" w:pos="2948"/>
          <w:tab w:val="clear" w:pos="3515"/>
          <w:tab w:val="clear" w:pos="4082"/>
        </w:tabs>
        <w:bidi/>
        <w:spacing w:after="100" w:line="340" w:lineRule="exact"/>
        <w:ind w:left="1134"/>
        <w:jc w:val="both"/>
        <w:textDirection w:val="tbRlV"/>
        <w:rPr>
          <w:rFonts w:ascii="Simplified Arabic" w:hAnsi="Simplified Arabic" w:cs="Simplified Arabic"/>
          <w:b/>
          <w:bCs/>
          <w:sz w:val="26"/>
          <w:szCs w:val="26"/>
          <w:lang w:val="en-GB" w:eastAsia="zh-TW"/>
        </w:rPr>
      </w:pPr>
      <w:r w:rsidRPr="00DE0F03">
        <w:rPr>
          <w:rFonts w:ascii="Simplified Arabic" w:hAnsi="Simplified Arabic" w:cs="Simplified Arabic"/>
          <w:b/>
          <w:bCs/>
          <w:sz w:val="26"/>
          <w:szCs w:val="26"/>
          <w:rtl/>
          <w:lang w:val="en-GB" w:eastAsia="zh-TW"/>
        </w:rPr>
        <w:t>ا ب-15/19</w:t>
      </w:r>
      <w:r w:rsidRPr="00DE0F03">
        <w:rPr>
          <w:rFonts w:ascii="Simplified Arabic" w:hAnsi="Simplified Arabic" w:cs="Simplified Arabic"/>
          <w:b/>
          <w:bCs/>
          <w:sz w:val="26"/>
          <w:szCs w:val="26"/>
          <w:lang w:val="en-GB" w:eastAsia="zh-TW"/>
        </w:rPr>
        <w:t>:</w:t>
      </w:r>
      <w:r w:rsidRPr="00DE0F03">
        <w:rPr>
          <w:rFonts w:ascii="Simplified Arabic" w:hAnsi="Simplified Arabic" w:cs="Simplified Arabic"/>
          <w:b/>
          <w:bCs/>
          <w:sz w:val="26"/>
          <w:szCs w:val="26"/>
          <w:rtl/>
          <w:lang w:val="en-GB" w:eastAsia="zh-TW"/>
        </w:rPr>
        <w:t xml:space="preserve"> توفير المزيد من الوضوح القانوني</w:t>
      </w:r>
      <w:bookmarkStart w:id="0" w:name="_Hlk106797234"/>
      <w:bookmarkEnd w:id="0"/>
    </w:p>
    <w:p w14:paraId="27569488" w14:textId="77777777" w:rsidR="002E3CE2" w:rsidRPr="00DE0F03" w:rsidRDefault="002E3CE2" w:rsidP="002E3CE2">
      <w:pPr>
        <w:pStyle w:val="Normal-pool"/>
        <w:tabs>
          <w:tab w:val="clear" w:pos="1247"/>
          <w:tab w:val="clear" w:pos="1814"/>
          <w:tab w:val="clear" w:pos="2381"/>
          <w:tab w:val="clear" w:pos="2948"/>
          <w:tab w:val="clear" w:pos="3515"/>
        </w:tabs>
        <w:spacing w:after="100" w:line="340" w:lineRule="exact"/>
        <w:ind w:left="1134" w:firstLine="709"/>
        <w:jc w:val="both"/>
        <w:textDirection w:val="tbRlV"/>
        <w:rPr>
          <w:rFonts w:ascii="Simplified Arabic" w:hAnsi="Simplified Arabic" w:cs="Simplified Arabic"/>
          <w:i/>
          <w:iCs/>
          <w:sz w:val="24"/>
          <w:szCs w:val="24"/>
          <w:lang w:val="ar-SA" w:eastAsia="zh-TW" w:bidi="en-GB"/>
        </w:rPr>
      </w:pPr>
      <w:proofErr w:type="spellStart"/>
      <w:r w:rsidRPr="00DE0F03">
        <w:rPr>
          <w:rFonts w:ascii="Simplified Arabic" w:hAnsi="Simplified Arabic" w:cs="Simplified Arabic"/>
          <w:i/>
          <w:iCs/>
          <w:sz w:val="24"/>
          <w:szCs w:val="24"/>
        </w:rPr>
        <w:t>إن</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مؤتمر</w:t>
      </w:r>
      <w:proofErr w:type="spellEnd"/>
      <w:r w:rsidRPr="00DE0F03">
        <w:rPr>
          <w:rFonts w:ascii="Simplified Arabic" w:hAnsi="Simplified Arabic" w:cs="Simplified Arabic"/>
          <w:i/>
          <w:iCs/>
          <w:sz w:val="24"/>
          <w:szCs w:val="24"/>
        </w:rPr>
        <w:t xml:space="preserve"> </w:t>
      </w:r>
      <w:proofErr w:type="spellStart"/>
      <w:r w:rsidRPr="00DE0F03">
        <w:rPr>
          <w:rFonts w:ascii="Simplified Arabic" w:hAnsi="Simplified Arabic" w:cs="Simplified Arabic"/>
          <w:i/>
          <w:iCs/>
          <w:sz w:val="24"/>
          <w:szCs w:val="24"/>
        </w:rPr>
        <w:t>الأطراف</w:t>
      </w:r>
      <w:proofErr w:type="spellEnd"/>
      <w:r w:rsidRPr="00DE0F03">
        <w:rPr>
          <w:rFonts w:ascii="Simplified Arabic" w:hAnsi="Simplified Arabic" w:cs="Simplified Arabic"/>
          <w:i/>
          <w:iCs/>
          <w:sz w:val="24"/>
          <w:szCs w:val="24"/>
        </w:rPr>
        <w:t>،</w:t>
      </w:r>
    </w:p>
    <w:p w14:paraId="3F8CE7DE" w14:textId="77777777" w:rsidR="002E3CE2" w:rsidRPr="00DE0F03" w:rsidRDefault="002E3CE2" w:rsidP="002E3CE2">
      <w:pPr>
        <w:pStyle w:val="ListParagraph"/>
        <w:numPr>
          <w:ilvl w:val="6"/>
          <w:numId w:val="5"/>
        </w:numPr>
        <w:tabs>
          <w:tab w:val="left" w:pos="2552"/>
        </w:tabs>
        <w:bidi/>
        <w:spacing w:after="100" w:line="340" w:lineRule="exact"/>
        <w:ind w:left="1134" w:firstLine="709"/>
        <w:contextualSpacing w:val="0"/>
        <w:jc w:val="both"/>
        <w:textDirection w:val="tbRlV"/>
        <w:rPr>
          <w:rFonts w:ascii="Times New Roman" w:eastAsia="Times New Roman" w:hAnsi="Times New Roman" w:cs="Simplified Arabic"/>
          <w:szCs w:val="24"/>
          <w:lang w:val="en-GB"/>
        </w:rPr>
      </w:pPr>
      <w:bookmarkStart w:id="1" w:name="_Hlk106797755"/>
      <w:r w:rsidRPr="00DE0F03">
        <w:rPr>
          <w:rFonts w:ascii="Times New Roman" w:eastAsia="Times New Roman" w:hAnsi="Times New Roman" w:cs="Simplified Arabic"/>
          <w:i/>
          <w:iCs/>
          <w:szCs w:val="24"/>
          <w:rtl/>
          <w:lang w:val="en-GB"/>
        </w:rPr>
        <w:t>يرحب</w:t>
      </w:r>
      <w:r w:rsidRPr="00DE0F03">
        <w:rPr>
          <w:rFonts w:ascii="Times New Roman" w:eastAsia="Times New Roman" w:hAnsi="Times New Roman" w:cs="Simplified Arabic"/>
          <w:szCs w:val="24"/>
          <w:rtl/>
          <w:lang w:val="en-GB"/>
        </w:rPr>
        <w:t xml:space="preserve"> بالعمل الذي اضطلع به فريق الخبراء العامل المعني باستعراض المرفقات الأول والثالث والرابع والقيد </w:t>
      </w:r>
      <w:r w:rsidRPr="00DE0F03">
        <w:rPr>
          <w:rFonts w:asciiTheme="majorBidi" w:eastAsia="Times New Roman" w:hAnsiTheme="majorBidi" w:cstheme="majorBidi"/>
          <w:rtl/>
          <w:lang w:val="en-GB" w:eastAsia="en-GB"/>
        </w:rPr>
        <w:t>A1180</w:t>
      </w:r>
      <w:r w:rsidRPr="00DE0F03">
        <w:rPr>
          <w:rFonts w:ascii="Times New Roman" w:eastAsia="Times New Roman" w:hAnsi="Times New Roman" w:cs="Simplified Arabic"/>
          <w:szCs w:val="24"/>
          <w:rtl/>
          <w:lang w:val="en-GB"/>
        </w:rPr>
        <w:t xml:space="preserve"> المدرج في المرفق الثامن والقيد </w:t>
      </w:r>
      <w:r w:rsidRPr="00DE0F03">
        <w:rPr>
          <w:rFonts w:asciiTheme="majorBidi" w:eastAsia="Times New Roman" w:hAnsiTheme="majorBidi" w:cstheme="majorBidi"/>
          <w:rtl/>
          <w:lang w:val="en-GB" w:eastAsia="en-GB"/>
        </w:rPr>
        <w:t>B1110</w:t>
      </w:r>
      <w:r w:rsidRPr="00DE0F03">
        <w:rPr>
          <w:rFonts w:ascii="Times New Roman" w:eastAsia="Times New Roman" w:hAnsi="Times New Roman" w:cs="Simplified Arabic"/>
          <w:szCs w:val="24"/>
          <w:rtl/>
          <w:lang w:val="en-GB"/>
        </w:rPr>
        <w:t xml:space="preserve"> المدرج في المرفق التاسع لاتفاقية بازل بشأن التحكم في نقل النفايات الخطرة والتخلص منها عبر الحدود؛</w:t>
      </w:r>
      <w:bookmarkStart w:id="2" w:name="_Hlk20480326"/>
      <w:bookmarkEnd w:id="1"/>
      <w:bookmarkEnd w:id="2"/>
    </w:p>
    <w:p w14:paraId="1BA80DE9" w14:textId="77777777" w:rsidR="002E3CE2" w:rsidRPr="00DE0F03" w:rsidRDefault="002E3CE2" w:rsidP="002E3CE2">
      <w:pPr>
        <w:pStyle w:val="ListParagraph"/>
        <w:numPr>
          <w:ilvl w:val="6"/>
          <w:numId w:val="5"/>
        </w:numPr>
        <w:tabs>
          <w:tab w:val="left" w:pos="2552"/>
        </w:tabs>
        <w:bidi/>
        <w:spacing w:after="100" w:line="34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يحيط علماً</w:t>
      </w:r>
      <w:r w:rsidRPr="00DE0F03">
        <w:rPr>
          <w:rFonts w:ascii="Times New Roman" w:eastAsia="Times New Roman" w:hAnsi="Times New Roman" w:cs="Simplified Arabic"/>
          <w:szCs w:val="24"/>
          <w:rtl/>
          <w:lang w:val="en-GB"/>
        </w:rPr>
        <w:t xml:space="preserve"> بالمعلومات المتعلقة بعمل فريق الخبراء العامل</w:t>
      </w:r>
      <w:r w:rsidRPr="00DE0F03">
        <w:rPr>
          <w:rFonts w:ascii="Times New Roman" w:eastAsia="Times New Roman" w:hAnsi="Times New Roman" w:cs="Simplified Arabic" w:hint="cs"/>
          <w:szCs w:val="24"/>
          <w:vertAlign w:val="superscript"/>
          <w:rtl/>
          <w:lang w:val="en-GB"/>
        </w:rPr>
        <w:t>(</w:t>
      </w:r>
      <w:r w:rsidRPr="00DE0F03">
        <w:rPr>
          <w:rStyle w:val="FootnoteReference"/>
          <w:rFonts w:ascii="Times New Roman" w:eastAsia="Times New Roman" w:hAnsi="Times New Roman" w:cs="Simplified Arabic"/>
          <w:szCs w:val="24"/>
          <w:rtl/>
          <w:lang w:val="en-GB"/>
        </w:rPr>
        <w:footnoteReference w:id="1"/>
      </w:r>
      <w:r w:rsidRPr="00DE0F03">
        <w:rPr>
          <w:rFonts w:ascii="Times New Roman" w:eastAsia="Times New Roman" w:hAnsi="Times New Roman" w:cs="Simplified Arabic" w:hint="cs"/>
          <w:szCs w:val="24"/>
          <w:vertAlign w:val="superscript"/>
          <w:rtl/>
          <w:lang w:val="en-GB"/>
        </w:rPr>
        <w:t>)</w:t>
      </w:r>
      <w:r w:rsidRPr="00DE0F03">
        <w:rPr>
          <w:rFonts w:ascii="Simplified Arabic" w:hAnsi="Simplified Arabic" w:cs="Simplified Arabic" w:hint="cs"/>
          <w:sz w:val="24"/>
          <w:szCs w:val="24"/>
        </w:rPr>
        <w:t>؛</w:t>
      </w:r>
      <w:r w:rsidRPr="00DE0F03">
        <w:rPr>
          <w:rFonts w:ascii="Times New Roman" w:eastAsia="Times New Roman" w:hAnsi="Times New Roman" w:cs="Simplified Arabic"/>
          <w:szCs w:val="24"/>
          <w:rtl/>
          <w:lang w:val="en-GB"/>
        </w:rPr>
        <w:t xml:space="preserve"> وبتوصيات الفريق بشأن مقترحات التعديلات المحتملة على المرفق الرابع وعلى القيد </w:t>
      </w:r>
      <w:r w:rsidRPr="00DE0F03">
        <w:rPr>
          <w:rFonts w:asciiTheme="majorBidi" w:eastAsia="Times New Roman" w:hAnsiTheme="majorBidi" w:cstheme="majorBidi"/>
          <w:rtl/>
          <w:lang w:val="en-GB" w:eastAsia="en-GB"/>
        </w:rPr>
        <w:t>A1180</w:t>
      </w:r>
      <w:r w:rsidRPr="00DE0F03">
        <w:rPr>
          <w:rFonts w:ascii="Times New Roman" w:eastAsia="Times New Roman" w:hAnsi="Times New Roman" w:cs="Simplified Arabic"/>
          <w:szCs w:val="24"/>
          <w:rtl/>
          <w:lang w:val="en-GB"/>
        </w:rPr>
        <w:t xml:space="preserve"> في المرفق الثامن والقيد </w:t>
      </w:r>
      <w:r w:rsidRPr="00DE0F03">
        <w:rPr>
          <w:rFonts w:asciiTheme="majorBidi" w:eastAsia="Times New Roman" w:hAnsiTheme="majorBidi" w:cstheme="majorBidi"/>
          <w:rtl/>
          <w:lang w:val="en-GB" w:eastAsia="en-GB"/>
        </w:rPr>
        <w:t>B1110</w:t>
      </w:r>
      <w:r w:rsidRPr="00DE0F03">
        <w:rPr>
          <w:rFonts w:ascii="Times New Roman" w:eastAsia="Times New Roman" w:hAnsi="Times New Roman" w:cs="Simplified Arabic"/>
          <w:szCs w:val="24"/>
          <w:rtl/>
          <w:lang w:val="en-GB"/>
        </w:rPr>
        <w:t xml:space="preserve"> في المرفق التاسع لاتفاقية بازل واستنتاجاته بشأن الآثار المترتبة على استعراض المرفق الرابع للاتفاقية، مما يعكس نتائج اجتماعه الرابع</w:t>
      </w:r>
      <w:r w:rsidRPr="00DE0F03">
        <w:rPr>
          <w:rFonts w:ascii="Times New Roman" w:eastAsia="Times New Roman" w:hAnsi="Times New Roman" w:cs="Simplified Arabic" w:hint="cs"/>
          <w:szCs w:val="24"/>
          <w:vertAlign w:val="superscript"/>
          <w:rtl/>
          <w:lang w:val="en-GB"/>
        </w:rPr>
        <w:t>(</w:t>
      </w:r>
      <w:r w:rsidRPr="00DE0F03">
        <w:rPr>
          <w:rStyle w:val="FootnoteReference"/>
          <w:rFonts w:ascii="Times New Roman" w:eastAsia="Times New Roman" w:hAnsi="Times New Roman" w:cs="Simplified Arabic"/>
          <w:szCs w:val="24"/>
          <w:rtl/>
          <w:lang w:val="en-GB"/>
        </w:rPr>
        <w:footnoteReference w:id="2"/>
      </w:r>
      <w:r w:rsidRPr="00DE0F03">
        <w:rPr>
          <w:rFonts w:ascii="Times New Roman" w:eastAsia="Times New Roman" w:hAnsi="Times New Roman" w:cs="Simplified Arabic" w:hint="cs"/>
          <w:szCs w:val="24"/>
          <w:vertAlign w:val="superscript"/>
          <w:rtl/>
          <w:lang w:val="en-GB"/>
        </w:rPr>
        <w:t>)</w:t>
      </w:r>
      <w:r w:rsidRPr="00DE0F03">
        <w:rPr>
          <w:rFonts w:ascii="Simplified Arabic" w:hAnsi="Simplified Arabic" w:cs="Simplified Arabic" w:hint="cs"/>
          <w:sz w:val="24"/>
          <w:szCs w:val="24"/>
        </w:rPr>
        <w:t>؛</w:t>
      </w:r>
      <w:r w:rsidRPr="00DE0F03">
        <w:rPr>
          <w:rFonts w:ascii="Times New Roman" w:eastAsia="Times New Roman" w:hAnsi="Times New Roman" w:cs="Simplified Arabic"/>
          <w:szCs w:val="24"/>
          <w:rtl/>
          <w:lang w:val="en-GB"/>
        </w:rPr>
        <w:t xml:space="preserve"> وبمشاريع صيغ وثيقة الإخطار، ووثيقة الانتقال، وتعليمات استكمال كلتا الوثيقتين، ونموذج الإبلاغ الوطني، ودليل ملء نموذج الإبلاغ الوطني، مع بيان المواضع التي قد يلزم فيها إدخال تعديلات نتيجةً للتعديلات المحتملة على المرفق الرابع</w:t>
      </w:r>
      <w:r w:rsidRPr="00DE0F03">
        <w:rPr>
          <w:rFonts w:ascii="Times New Roman" w:eastAsia="Times New Roman" w:hAnsi="Times New Roman" w:cs="Simplified Arabic" w:hint="cs"/>
          <w:szCs w:val="24"/>
          <w:vertAlign w:val="superscript"/>
          <w:rtl/>
          <w:lang w:val="en-GB"/>
        </w:rPr>
        <w:t>(</w:t>
      </w:r>
      <w:r w:rsidRPr="00DE0F03">
        <w:rPr>
          <w:rStyle w:val="FootnoteReference"/>
          <w:rFonts w:ascii="Times New Roman" w:eastAsia="Times New Roman" w:hAnsi="Times New Roman" w:cs="Simplified Arabic"/>
          <w:szCs w:val="24"/>
          <w:rtl/>
          <w:lang w:val="en-GB"/>
        </w:rPr>
        <w:footnoteReference w:id="3"/>
      </w:r>
      <w:r w:rsidRPr="00DE0F03">
        <w:rPr>
          <w:rFonts w:ascii="Times New Roman" w:eastAsia="Times New Roman" w:hAnsi="Times New Roman" w:cs="Simplified Arabic" w:hint="cs"/>
          <w:szCs w:val="24"/>
          <w:vertAlign w:val="superscript"/>
          <w:rtl/>
          <w:lang w:val="en-GB"/>
        </w:rPr>
        <w:t>)</w:t>
      </w:r>
      <w:r w:rsidRPr="00DE0F03">
        <w:rPr>
          <w:rFonts w:ascii="Simplified Arabic" w:hAnsi="Simplified Arabic" w:cs="Simplified Arabic" w:hint="cs"/>
          <w:sz w:val="24"/>
          <w:szCs w:val="24"/>
        </w:rPr>
        <w:t>؛</w:t>
      </w:r>
      <w:r w:rsidRPr="00DE0F03">
        <w:rPr>
          <w:rFonts w:ascii="Times New Roman" w:eastAsia="Times New Roman" w:hAnsi="Times New Roman" w:cs="Simplified Arabic"/>
          <w:szCs w:val="24"/>
          <w:rtl/>
          <w:lang w:val="en-GB"/>
        </w:rPr>
        <w:t xml:space="preserve"> وبالتقدم المحرز في استعراض المرفقين الأول والثالث</w:t>
      </w:r>
      <w:r w:rsidRPr="00DE0F03">
        <w:rPr>
          <w:rFonts w:ascii="Times New Roman" w:eastAsia="Times New Roman" w:hAnsi="Times New Roman" w:cs="Simplified Arabic" w:hint="cs"/>
          <w:szCs w:val="24"/>
          <w:vertAlign w:val="superscript"/>
          <w:rtl/>
          <w:lang w:val="en-GB"/>
        </w:rPr>
        <w:t>(</w:t>
      </w:r>
      <w:r w:rsidRPr="00DE0F03">
        <w:rPr>
          <w:rStyle w:val="FootnoteReference"/>
          <w:rFonts w:ascii="Times New Roman" w:eastAsia="Times New Roman" w:hAnsi="Times New Roman" w:cs="Simplified Arabic"/>
          <w:szCs w:val="24"/>
          <w:rtl/>
          <w:lang w:val="en-GB"/>
        </w:rPr>
        <w:footnoteReference w:id="4"/>
      </w:r>
      <w:r w:rsidRPr="00DE0F03">
        <w:rPr>
          <w:rFonts w:ascii="Times New Roman" w:eastAsia="Times New Roman" w:hAnsi="Times New Roman" w:cs="Simplified Arabic" w:hint="cs"/>
          <w:szCs w:val="24"/>
          <w:vertAlign w:val="superscript"/>
          <w:rtl/>
          <w:lang w:val="en-GB"/>
        </w:rPr>
        <w:t>)</w:t>
      </w:r>
      <w:r w:rsidRPr="00DE0F03">
        <w:rPr>
          <w:rFonts w:ascii="Simplified Arabic" w:hAnsi="Simplified Arabic" w:cs="Simplified Arabic" w:hint="cs"/>
          <w:sz w:val="24"/>
          <w:szCs w:val="24"/>
        </w:rPr>
        <w:t>؛</w:t>
      </w:r>
    </w:p>
    <w:p w14:paraId="192A6A74" w14:textId="77777777" w:rsidR="002E3CE2" w:rsidRPr="00DE0F03" w:rsidRDefault="002E3CE2" w:rsidP="002E3CE2">
      <w:pPr>
        <w:pStyle w:val="ListParagraph"/>
        <w:numPr>
          <w:ilvl w:val="6"/>
          <w:numId w:val="5"/>
        </w:numPr>
        <w:tabs>
          <w:tab w:val="left" w:pos="2552"/>
        </w:tabs>
        <w:bidi/>
        <w:spacing w:after="100" w:line="340" w:lineRule="exact"/>
        <w:ind w:left="1134" w:firstLine="709"/>
        <w:contextualSpacing w:val="0"/>
        <w:jc w:val="both"/>
        <w:textDirection w:val="tbRlV"/>
        <w:rPr>
          <w:rFonts w:ascii="Times New Roman" w:eastAsia="Times New Roman" w:hAnsi="Times New Roman" w:cs="Simplified Arabic"/>
          <w:szCs w:val="24"/>
          <w:lang w:val="en-GB"/>
        </w:rPr>
      </w:pPr>
      <w:bookmarkStart w:id="3" w:name="_Hlk106797555"/>
      <w:r w:rsidRPr="00DE0F03">
        <w:rPr>
          <w:rFonts w:ascii="Times New Roman" w:eastAsia="Times New Roman" w:hAnsi="Times New Roman" w:cs="Simplified Arabic"/>
          <w:i/>
          <w:iCs/>
          <w:szCs w:val="24"/>
          <w:rtl/>
          <w:lang w:val="en-GB"/>
        </w:rPr>
        <w:t>يشير</w:t>
      </w:r>
      <w:r w:rsidRPr="00DE0F03">
        <w:rPr>
          <w:rFonts w:ascii="Times New Roman" w:eastAsia="Times New Roman" w:hAnsi="Times New Roman" w:cs="Simplified Arabic"/>
          <w:szCs w:val="24"/>
          <w:rtl/>
          <w:lang w:val="en-GB"/>
        </w:rPr>
        <w:t xml:space="preserve"> إلى ولاية فريق الخبراء العامل على النحو المبين في المقررات ا ب-13/2 وا ب-14/13 وا ب-14/16 ويقرر إزالة استعراض القيد </w:t>
      </w:r>
      <w:r w:rsidRPr="00DE0F03">
        <w:rPr>
          <w:rFonts w:asciiTheme="majorBidi" w:eastAsia="Times New Roman" w:hAnsiTheme="majorBidi" w:cstheme="majorBidi"/>
          <w:rtl/>
          <w:lang w:val="en-GB" w:eastAsia="en-GB"/>
        </w:rPr>
        <w:t>A1180</w:t>
      </w:r>
      <w:r w:rsidRPr="00DE0F03">
        <w:rPr>
          <w:rFonts w:ascii="Times New Roman" w:eastAsia="Times New Roman" w:hAnsi="Times New Roman" w:cs="Simplified Arabic"/>
          <w:szCs w:val="24"/>
          <w:rtl/>
          <w:lang w:val="en-GB"/>
        </w:rPr>
        <w:t xml:space="preserve"> المدرج في المرفق الثامن والقيد </w:t>
      </w:r>
      <w:r w:rsidRPr="00DE0F03">
        <w:rPr>
          <w:rFonts w:asciiTheme="majorBidi" w:eastAsia="Times New Roman" w:hAnsiTheme="majorBidi" w:cstheme="majorBidi"/>
          <w:rtl/>
          <w:lang w:val="en-GB" w:eastAsia="en-GB"/>
        </w:rPr>
        <w:t>B1110</w:t>
      </w:r>
      <w:r w:rsidRPr="00DE0F03">
        <w:rPr>
          <w:rFonts w:ascii="Times New Roman" w:eastAsia="Times New Roman" w:hAnsi="Times New Roman" w:cs="Simplified Arabic"/>
          <w:szCs w:val="24"/>
          <w:rtl/>
          <w:lang w:val="en-GB"/>
        </w:rPr>
        <w:t xml:space="preserve"> المدرج في المرفق التاسع من ولاية الفريق؛</w:t>
      </w:r>
    </w:p>
    <w:p w14:paraId="0B42B092" w14:textId="77777777" w:rsidR="002E3CE2" w:rsidRPr="00DE0F03" w:rsidRDefault="002E3CE2" w:rsidP="002E3CE2">
      <w:pPr>
        <w:pStyle w:val="ListParagraph"/>
        <w:numPr>
          <w:ilvl w:val="6"/>
          <w:numId w:val="5"/>
        </w:numPr>
        <w:tabs>
          <w:tab w:val="left" w:pos="2552"/>
        </w:tabs>
        <w:bidi/>
        <w:spacing w:after="100" w:line="340" w:lineRule="exact"/>
        <w:ind w:left="1134" w:firstLine="709"/>
        <w:contextualSpacing w:val="0"/>
        <w:jc w:val="both"/>
        <w:textDirection w:val="tbRlV"/>
        <w:rPr>
          <w:rFonts w:ascii="Times New Roman" w:eastAsia="Times New Roman" w:hAnsi="Times New Roman" w:cs="Simplified Arabic"/>
          <w:szCs w:val="24"/>
          <w:lang w:val="en-GB"/>
        </w:rPr>
      </w:pPr>
      <w:r w:rsidRPr="00DE0F03">
        <w:rPr>
          <w:rFonts w:ascii="Times New Roman" w:eastAsia="Times New Roman" w:hAnsi="Times New Roman" w:cs="Simplified Arabic"/>
          <w:i/>
          <w:iCs/>
          <w:szCs w:val="24"/>
          <w:rtl/>
          <w:lang w:val="en-GB"/>
        </w:rPr>
        <w:t>يقر</w:t>
      </w:r>
      <w:r w:rsidRPr="00DE0F03">
        <w:rPr>
          <w:rFonts w:ascii="Times New Roman" w:eastAsia="Times New Roman" w:hAnsi="Times New Roman" w:cs="Simplified Arabic"/>
          <w:szCs w:val="24"/>
          <w:rtl/>
          <w:lang w:val="en-GB"/>
        </w:rPr>
        <w:t xml:space="preserve"> بالحاجة إلى مزيد من المناقشة بشأن التعديلات على المرفق الرابع - على سبيل المثال، بشأن المسائل التالية، من بين أمور أخرى، والتي نوقشت أثناء الاجتماع الخامس عشر لمؤتمر الأطراف:</w:t>
      </w:r>
      <w:bookmarkStart w:id="4" w:name="_Hlk106797904"/>
      <w:bookmarkEnd w:id="4"/>
    </w:p>
    <w:bookmarkEnd w:id="3"/>
    <w:p w14:paraId="187C8F02" w14:textId="77777777" w:rsidR="002E3CE2" w:rsidRPr="00DE0F03" w:rsidRDefault="002E3CE2" w:rsidP="002E3CE2">
      <w:pPr>
        <w:pStyle w:val="Normal-pool"/>
        <w:numPr>
          <w:ilvl w:val="0"/>
          <w:numId w:val="6"/>
        </w:numPr>
        <w:tabs>
          <w:tab w:val="clear" w:pos="1247"/>
          <w:tab w:val="clear" w:pos="1814"/>
          <w:tab w:val="clear" w:pos="2381"/>
          <w:tab w:val="clear" w:pos="2948"/>
          <w:tab w:val="clear" w:pos="3515"/>
          <w:tab w:val="left" w:pos="2552"/>
        </w:tabs>
        <w:spacing w:after="100" w:line="34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المقدمة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العامة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والشروح</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والنص</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التمهيدي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للفرعين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ألف</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وباء</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من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المرفق</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الرابع</w:t>
      </w:r>
      <w:proofErr w:type="spellEnd"/>
      <w:r w:rsidRPr="00DE0F03">
        <w:rPr>
          <w:rFonts w:ascii="Simplified Arabic" w:hAnsi="Simplified Arabic" w:cs="Simplified Arabic"/>
          <w:sz w:val="24"/>
          <w:szCs w:val="24"/>
        </w:rPr>
        <w:t>؛</w:t>
      </w:r>
      <w:proofErr w:type="gramEnd"/>
    </w:p>
    <w:p w14:paraId="7D86FB84" w14:textId="77777777" w:rsidR="002E3CE2" w:rsidRPr="00DE0F03" w:rsidRDefault="002E3CE2" w:rsidP="002E3CE2">
      <w:pPr>
        <w:pStyle w:val="Normal-pool"/>
        <w:numPr>
          <w:ilvl w:val="0"/>
          <w:numId w:val="6"/>
        </w:numPr>
        <w:tabs>
          <w:tab w:val="clear" w:pos="1247"/>
          <w:tab w:val="clear" w:pos="1814"/>
          <w:tab w:val="clear" w:pos="2381"/>
          <w:tab w:val="clear" w:pos="2948"/>
          <w:tab w:val="clear" w:pos="3515"/>
          <w:tab w:val="left" w:pos="2552"/>
        </w:tabs>
        <w:spacing w:after="100" w:line="34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الاحتفاظ</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بالعمليات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القائمة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حذفها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دمجها</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أو</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تقسيمها</w:t>
      </w:r>
      <w:proofErr w:type="spellEnd"/>
      <w:r w:rsidRPr="00DE0F03">
        <w:rPr>
          <w:rFonts w:ascii="Simplified Arabic" w:hAnsi="Simplified Arabic" w:cs="Simplified Arabic"/>
          <w:sz w:val="24"/>
          <w:szCs w:val="24"/>
        </w:rPr>
        <w:t>؛</w:t>
      </w:r>
      <w:proofErr w:type="gramEnd"/>
    </w:p>
    <w:p w14:paraId="3E6BF535" w14:textId="77777777" w:rsidR="002E3CE2" w:rsidRPr="00DE0F03" w:rsidRDefault="002E3CE2" w:rsidP="002E3CE2">
      <w:pPr>
        <w:pStyle w:val="Normal-pool"/>
        <w:numPr>
          <w:ilvl w:val="0"/>
          <w:numId w:val="6"/>
        </w:numPr>
        <w:tabs>
          <w:tab w:val="clear" w:pos="1247"/>
          <w:tab w:val="clear" w:pos="1814"/>
          <w:tab w:val="clear" w:pos="2381"/>
          <w:tab w:val="clear" w:pos="2948"/>
          <w:tab w:val="clear" w:pos="3515"/>
          <w:tab w:val="left" w:pos="2552"/>
        </w:tabs>
        <w:spacing w:after="100" w:line="34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إدراج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جديدة</w:t>
      </w:r>
      <w:proofErr w:type="spellEnd"/>
      <w:r w:rsidRPr="00DE0F03">
        <w:rPr>
          <w:rFonts w:ascii="Simplified Arabic" w:hAnsi="Simplified Arabic" w:cs="Simplified Arabic"/>
          <w:sz w:val="24"/>
          <w:szCs w:val="24"/>
        </w:rPr>
        <w:t xml:space="preserve"> -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سبيل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المثال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بشأن</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التحضير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لإعادة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الاستخدام</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والعمليات</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الشاملة</w:t>
      </w:r>
      <w:proofErr w:type="spellEnd"/>
      <w:r w:rsidRPr="00DE0F03">
        <w:rPr>
          <w:rFonts w:ascii="Simplified Arabic" w:hAnsi="Simplified Arabic" w:cs="Simplified Arabic"/>
          <w:sz w:val="24"/>
          <w:szCs w:val="24"/>
        </w:rPr>
        <w:t>؛</w:t>
      </w:r>
      <w:proofErr w:type="gramEnd"/>
    </w:p>
    <w:p w14:paraId="4EAACEA4" w14:textId="77777777" w:rsidR="002E3CE2" w:rsidRPr="00DE0F03" w:rsidRDefault="002E3CE2" w:rsidP="002E3CE2">
      <w:pPr>
        <w:pStyle w:val="Normal-pool"/>
        <w:numPr>
          <w:ilvl w:val="0"/>
          <w:numId w:val="6"/>
        </w:numPr>
        <w:tabs>
          <w:tab w:val="clear" w:pos="1247"/>
          <w:tab w:val="clear" w:pos="1814"/>
          <w:tab w:val="clear" w:pos="2381"/>
          <w:tab w:val="clear" w:pos="2948"/>
          <w:tab w:val="clear" w:pos="3515"/>
          <w:tab w:val="left" w:pos="2552"/>
        </w:tabs>
        <w:spacing w:after="100" w:line="34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النظر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عمليات</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الإدارة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غير</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السليمة</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بيئياً</w:t>
      </w:r>
      <w:proofErr w:type="spellEnd"/>
      <w:r w:rsidRPr="00DE0F03">
        <w:rPr>
          <w:rFonts w:ascii="Simplified Arabic" w:hAnsi="Simplified Arabic" w:cs="Simplified Arabic"/>
          <w:sz w:val="24"/>
          <w:szCs w:val="24"/>
        </w:rPr>
        <w:t xml:space="preserve"> - </w:t>
      </w:r>
      <w:proofErr w:type="spellStart"/>
      <w:r w:rsidRPr="00DE0F03">
        <w:rPr>
          <w:rFonts w:ascii="Simplified Arabic" w:hAnsi="Simplified Arabic" w:cs="Simplified Arabic"/>
          <w:sz w:val="24"/>
          <w:szCs w:val="24"/>
        </w:rPr>
        <w:t>على</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سبيل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المثال</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الحرق</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في</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الهواء</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الطلق</w:t>
      </w:r>
      <w:proofErr w:type="spellEnd"/>
      <w:r w:rsidRPr="00DE0F03">
        <w:rPr>
          <w:rFonts w:ascii="Simplified Arabic" w:hAnsi="Simplified Arabic" w:cs="Simplified Arabic"/>
          <w:sz w:val="24"/>
          <w:szCs w:val="24"/>
        </w:rPr>
        <w:t>؛</w:t>
      </w:r>
      <w:proofErr w:type="gramEnd"/>
    </w:p>
    <w:p w14:paraId="09C641FF" w14:textId="77777777" w:rsidR="002E3CE2" w:rsidRPr="00DE0F03" w:rsidRDefault="002E3CE2" w:rsidP="002E3CE2">
      <w:pPr>
        <w:pStyle w:val="Normal-pool"/>
        <w:numPr>
          <w:ilvl w:val="0"/>
          <w:numId w:val="6"/>
        </w:numPr>
        <w:tabs>
          <w:tab w:val="clear" w:pos="1247"/>
          <w:tab w:val="clear" w:pos="1814"/>
          <w:tab w:val="clear" w:pos="2381"/>
          <w:tab w:val="clear" w:pos="2948"/>
          <w:tab w:val="clear" w:pos="3515"/>
          <w:tab w:val="left" w:pos="2552"/>
        </w:tabs>
        <w:spacing w:after="100" w:line="340" w:lineRule="exact"/>
        <w:ind w:left="1134" w:firstLine="709"/>
        <w:jc w:val="both"/>
        <w:textDirection w:val="tbRlV"/>
        <w:rPr>
          <w:rFonts w:ascii="Simplified Arabic" w:hAnsi="Simplified Arabic" w:cs="Simplified Arabic"/>
          <w:sz w:val="24"/>
          <w:szCs w:val="24"/>
          <w:rtl/>
          <w:lang w:val="ar-SA" w:eastAsia="zh-TW" w:bidi="en-GB"/>
        </w:rPr>
      </w:pPr>
      <w:proofErr w:type="spellStart"/>
      <w:r w:rsidRPr="00DE0F03">
        <w:rPr>
          <w:rFonts w:ascii="Simplified Arabic" w:hAnsi="Simplified Arabic" w:cs="Simplified Arabic"/>
          <w:sz w:val="24"/>
          <w:szCs w:val="24"/>
        </w:rPr>
        <w:t>إدراج</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أمثلة</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توضيحية</w:t>
      </w:r>
      <w:proofErr w:type="spellEnd"/>
      <w:r w:rsidRPr="00DE0F03">
        <w:rPr>
          <w:rFonts w:ascii="Simplified Arabic" w:hAnsi="Simplified Arabic" w:cs="Simplified Arabic"/>
          <w:sz w:val="24"/>
          <w:szCs w:val="24"/>
        </w:rPr>
        <w:t>؛</w:t>
      </w:r>
      <w:proofErr w:type="gramEnd"/>
    </w:p>
    <w:p w14:paraId="15DE9401" w14:textId="77777777" w:rsidR="002E3CE2" w:rsidRPr="00DE0F03" w:rsidRDefault="002E3CE2" w:rsidP="002E3CE2">
      <w:pPr>
        <w:pStyle w:val="Normal-pool"/>
        <w:numPr>
          <w:ilvl w:val="0"/>
          <w:numId w:val="6"/>
        </w:numPr>
        <w:tabs>
          <w:tab w:val="clear" w:pos="1247"/>
          <w:tab w:val="clear" w:pos="1814"/>
          <w:tab w:val="clear" w:pos="2381"/>
          <w:tab w:val="clear" w:pos="2948"/>
          <w:tab w:val="clear" w:pos="3515"/>
          <w:tab w:val="left" w:pos="2552"/>
        </w:tabs>
        <w:spacing w:after="100" w:line="340" w:lineRule="exact"/>
        <w:ind w:left="1134" w:firstLine="709"/>
        <w:jc w:val="both"/>
        <w:textDirection w:val="tbRlV"/>
        <w:rPr>
          <w:rFonts w:ascii="Simplified Arabic" w:hAnsi="Simplified Arabic" w:cs="Simplified Arabic"/>
          <w:sz w:val="24"/>
          <w:szCs w:val="24"/>
          <w:lang w:val="ar-SA" w:eastAsia="zh-TW" w:bidi="en-GB"/>
        </w:rPr>
      </w:pPr>
      <w:proofErr w:type="spellStart"/>
      <w:r w:rsidRPr="00DE0F03">
        <w:rPr>
          <w:rFonts w:ascii="Simplified Arabic" w:hAnsi="Simplified Arabic" w:cs="Simplified Arabic"/>
          <w:sz w:val="24"/>
          <w:szCs w:val="24"/>
        </w:rPr>
        <w:t>ترتيب</w:t>
      </w:r>
      <w:proofErr w:type="spellEnd"/>
      <w:r w:rsidRPr="00DE0F03">
        <w:rPr>
          <w:rFonts w:ascii="Simplified Arabic" w:hAnsi="Simplified Arabic" w:cs="Simplified Arabic"/>
          <w:sz w:val="24"/>
          <w:szCs w:val="24"/>
        </w:rPr>
        <w:t xml:space="preserve"> </w:t>
      </w:r>
      <w:proofErr w:type="spellStart"/>
      <w:r w:rsidRPr="00DE0F03">
        <w:rPr>
          <w:rFonts w:ascii="Simplified Arabic" w:hAnsi="Simplified Arabic" w:cs="Simplified Arabic"/>
          <w:sz w:val="24"/>
          <w:szCs w:val="24"/>
        </w:rPr>
        <w:t>العمليات</w:t>
      </w:r>
      <w:proofErr w:type="spellEnd"/>
      <w:r w:rsidRPr="00DE0F03">
        <w:rPr>
          <w:rFonts w:ascii="Simplified Arabic" w:hAnsi="Simplified Arabic" w:cs="Simplified Arabic"/>
          <w:sz w:val="24"/>
          <w:szCs w:val="24"/>
        </w:rPr>
        <w:t xml:space="preserve"> </w:t>
      </w:r>
      <w:proofErr w:type="spellStart"/>
      <w:proofErr w:type="gramStart"/>
      <w:r w:rsidRPr="00DE0F03">
        <w:rPr>
          <w:rFonts w:ascii="Simplified Arabic" w:hAnsi="Simplified Arabic" w:cs="Simplified Arabic"/>
          <w:sz w:val="24"/>
          <w:szCs w:val="24"/>
        </w:rPr>
        <w:t>وترقيمها</w:t>
      </w:r>
      <w:proofErr w:type="spellEnd"/>
      <w:r w:rsidRPr="00DE0F03">
        <w:rPr>
          <w:rFonts w:ascii="Simplified Arabic" w:hAnsi="Simplified Arabic" w:cs="Simplified Arabic"/>
          <w:sz w:val="24"/>
          <w:szCs w:val="24"/>
        </w:rPr>
        <w:t>؛</w:t>
      </w:r>
      <w:proofErr w:type="gramEnd"/>
      <w:r w:rsidRPr="00DE0F03">
        <w:rPr>
          <w:rFonts w:ascii="Simplified Arabic" w:hAnsi="Simplified Arabic" w:cs="Simplified Arabic"/>
          <w:sz w:val="24"/>
          <w:szCs w:val="24"/>
        </w:rPr>
        <w:t xml:space="preserve"> </w:t>
      </w:r>
    </w:p>
    <w:p w14:paraId="16E09EF7" w14:textId="77777777" w:rsidR="002E3CE2" w:rsidRPr="00DE0F03" w:rsidRDefault="002E3CE2" w:rsidP="002E3CE2">
      <w:pPr>
        <w:pStyle w:val="ListParagraph"/>
        <w:numPr>
          <w:ilvl w:val="6"/>
          <w:numId w:val="5"/>
        </w:numPr>
        <w:tabs>
          <w:tab w:val="left" w:pos="2552"/>
        </w:tabs>
        <w:bidi/>
        <w:spacing w:after="100" w:line="34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5" w:name="_Hlk106797916"/>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الفريق العامل المفتوح العضوية أن ينظر في مقترحات الاتحاد الأوروبي بتعديل المرفق الرابع وقيود معينة مدرجة في المرفقين الثاني والتاسع لاتفاقية بازل</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5"/>
      </w:r>
      <w:r w:rsidRPr="00DE0F03">
        <w:rPr>
          <w:rFonts w:ascii="Simplified Arabic" w:eastAsia="Times New Roman" w:hAnsi="Simplified Arabic" w:cs="Simplified Arabic" w:hint="cs"/>
          <w:sz w:val="24"/>
          <w:szCs w:val="24"/>
          <w:vertAlign w:val="superscript"/>
          <w:rtl/>
          <w:lang w:val="en-GB"/>
        </w:rPr>
        <w:t xml:space="preserve">) </w:t>
      </w:r>
      <w:r w:rsidRPr="00DE0F03">
        <w:rPr>
          <w:rFonts w:ascii="Simplified Arabic" w:eastAsia="Times New Roman" w:hAnsi="Simplified Arabic" w:cs="Simplified Arabic" w:hint="cs"/>
          <w:sz w:val="24"/>
          <w:szCs w:val="24"/>
          <w:rtl/>
          <w:lang w:val="en-GB"/>
        </w:rPr>
        <w:t>وفي توصيات ونتائج فريق الخبراء العامل</w:t>
      </w:r>
      <w:r w:rsidRPr="00DE0F03">
        <w:rPr>
          <w:rFonts w:ascii="Simplified Arabic" w:eastAsia="Times New Roman" w:hAnsi="Simplified Arabic" w:cs="Simplified Arabic" w:hint="cs"/>
          <w:sz w:val="24"/>
          <w:szCs w:val="24"/>
          <w:vertAlign w:val="superscript"/>
          <w:rtl/>
          <w:lang w:val="en-GB"/>
        </w:rPr>
        <w:t>(</w:t>
      </w:r>
      <w:r w:rsidRPr="00DE0F03">
        <w:rPr>
          <w:rStyle w:val="FootnoteReference"/>
          <w:rFonts w:ascii="Simplified Arabic" w:eastAsia="Times New Roman" w:hAnsi="Simplified Arabic" w:cs="Simplified Arabic"/>
          <w:sz w:val="24"/>
          <w:szCs w:val="24"/>
          <w:rtl/>
          <w:lang w:val="en-GB"/>
        </w:rPr>
        <w:footnoteReference w:id="6"/>
      </w:r>
      <w:r w:rsidRPr="00DE0F03">
        <w:rPr>
          <w:rFonts w:ascii="Simplified Arabic" w:eastAsia="Times New Roman" w:hAnsi="Simplified Arabic" w:cs="Simplified Arabic" w:hint="cs"/>
          <w:sz w:val="24"/>
          <w:szCs w:val="24"/>
          <w:vertAlign w:val="superscript"/>
          <w:rtl/>
          <w:lang w:val="en-GB"/>
        </w:rPr>
        <w:t>)</w:t>
      </w:r>
      <w:r w:rsidRPr="00DE0F03">
        <w:rPr>
          <w:rFonts w:ascii="Simplified Arabic" w:eastAsia="Times New Roman" w:hAnsi="Simplified Arabic" w:cs="Simplified Arabic" w:hint="cs"/>
          <w:sz w:val="24"/>
          <w:szCs w:val="24"/>
          <w:rtl/>
          <w:lang w:val="en-GB"/>
        </w:rPr>
        <w:t xml:space="preserve">، مع مراعاة المناقشات التي جرت في الاجتماع الخامس عشر لمؤتمر الأطراف، وكذلك التقدم المحرز في استعراض المرفقين الأول والثالث، وتقديم توصيات لينظر فيها مؤتمر الأطراف في اجتماعه السادس عشر؛ </w:t>
      </w:r>
    </w:p>
    <w:p w14:paraId="423F30D6" w14:textId="77777777" w:rsidR="002E3CE2" w:rsidRPr="00DE0F03" w:rsidRDefault="002E3CE2" w:rsidP="002E3CE2">
      <w:pPr>
        <w:pStyle w:val="ListParagraph"/>
        <w:numPr>
          <w:ilvl w:val="6"/>
          <w:numId w:val="5"/>
        </w:numPr>
        <w:tabs>
          <w:tab w:val="left" w:pos="2552"/>
        </w:tabs>
        <w:bidi/>
        <w:spacing w:after="100" w:line="340" w:lineRule="exact"/>
        <w:ind w:left="1134" w:firstLine="709"/>
        <w:contextualSpacing w:val="0"/>
        <w:jc w:val="both"/>
        <w:textDirection w:val="tbRlV"/>
        <w:rPr>
          <w:rFonts w:ascii="Simplified Arabic" w:eastAsia="Times New Roman" w:hAnsi="Simplified Arabic" w:cs="Simplified Arabic"/>
          <w:sz w:val="24"/>
          <w:szCs w:val="24"/>
          <w:lang w:val="en-GB"/>
        </w:rPr>
      </w:pPr>
      <w:bookmarkStart w:id="6" w:name="_Hlk106797252"/>
      <w:bookmarkEnd w:id="5"/>
      <w:r w:rsidRPr="00DE0F03">
        <w:rPr>
          <w:rFonts w:ascii="Simplified Arabic" w:eastAsia="Times New Roman" w:hAnsi="Simplified Arabic" w:cs="Simplified Arabic" w:hint="cs"/>
          <w:i/>
          <w:iCs/>
          <w:sz w:val="24"/>
          <w:szCs w:val="24"/>
          <w:rtl/>
          <w:lang w:val="en-GB"/>
        </w:rPr>
        <w:lastRenderedPageBreak/>
        <w:t>يطلب</w:t>
      </w:r>
      <w:r w:rsidRPr="00DE0F03">
        <w:rPr>
          <w:rFonts w:ascii="Simplified Arabic" w:eastAsia="Times New Roman" w:hAnsi="Simplified Arabic" w:cs="Simplified Arabic" w:hint="cs"/>
          <w:sz w:val="24"/>
          <w:szCs w:val="24"/>
          <w:rtl/>
          <w:lang w:val="en-GB"/>
        </w:rPr>
        <w:t xml:space="preserve"> إلى المجموعات الإقليمية التي لم تعيِّن بعد 10 خبراء من ذوي الخبرة في المجال للعمل كأعضاء في فريق الخبراء العامل أن ترشح الخبراء المتبقين بحلول 31 تموز/يوليه 2022 من خلال ممثليها في المكتب، ويطلب إلى الأمانة أن تيسر عملية الترشيح؛</w:t>
      </w:r>
    </w:p>
    <w:bookmarkEnd w:id="6"/>
    <w:p w14:paraId="59870BA7" w14:textId="65FB2E6C" w:rsidR="00F935A6" w:rsidRPr="002E3CE2" w:rsidRDefault="002E3CE2" w:rsidP="002E3CE2">
      <w:pPr>
        <w:pStyle w:val="ListParagraph"/>
        <w:numPr>
          <w:ilvl w:val="6"/>
          <w:numId w:val="5"/>
        </w:numPr>
        <w:tabs>
          <w:tab w:val="left" w:pos="2552"/>
        </w:tabs>
        <w:bidi/>
        <w:spacing w:after="100" w:line="340" w:lineRule="exact"/>
        <w:ind w:left="1134" w:firstLine="709"/>
        <w:contextualSpacing w:val="0"/>
        <w:jc w:val="both"/>
        <w:textDirection w:val="tbRlV"/>
        <w:rPr>
          <w:rFonts w:ascii="Simplified Arabic" w:hAnsi="Simplified Arabic"/>
          <w:szCs w:val="24"/>
          <w:lang w:val="en-GB"/>
        </w:rPr>
      </w:pPr>
      <w:r w:rsidRPr="00DE0F03">
        <w:rPr>
          <w:rFonts w:ascii="Simplified Arabic" w:eastAsia="Times New Roman" w:hAnsi="Simplified Arabic" w:cs="Simplified Arabic" w:hint="cs"/>
          <w:i/>
          <w:iCs/>
          <w:sz w:val="24"/>
          <w:szCs w:val="24"/>
          <w:rtl/>
          <w:lang w:val="en-GB"/>
        </w:rPr>
        <w:t>يطلب</w:t>
      </w:r>
      <w:r w:rsidRPr="00DE0F03">
        <w:rPr>
          <w:rFonts w:ascii="Simplified Arabic" w:eastAsia="Times New Roman" w:hAnsi="Simplified Arabic" w:cs="Simplified Arabic" w:hint="cs"/>
          <w:sz w:val="24"/>
          <w:szCs w:val="24"/>
          <w:rtl/>
          <w:lang w:val="en-GB"/>
        </w:rPr>
        <w:t xml:space="preserve"> إلى الأمانة أن تقدم تقريراً عن تنفيذ هذا المقرر إلى الفريق العامل المفتوح العضوية في اجتماعه الثالث عشر، وإلى مؤتمر الأطراف في اجتماعه السادس عشر.</w:t>
      </w:r>
    </w:p>
    <w:sectPr w:rsidR="00F935A6" w:rsidRPr="002E3CE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AE29EE" w14:textId="77777777" w:rsidR="00703B55" w:rsidRDefault="00703B55" w:rsidP="00BD27C1">
      <w:r>
        <w:separator/>
      </w:r>
    </w:p>
  </w:endnote>
  <w:endnote w:type="continuationSeparator" w:id="0">
    <w:p w14:paraId="4C48582E" w14:textId="77777777" w:rsidR="00703B55" w:rsidRDefault="00703B55" w:rsidP="00BD2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plified Arabic">
    <w:altName w:val="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F98CD" w14:textId="77777777" w:rsidR="00703B55" w:rsidRDefault="00703B55" w:rsidP="00BD27C1">
      <w:r>
        <w:separator/>
      </w:r>
    </w:p>
  </w:footnote>
  <w:footnote w:type="continuationSeparator" w:id="0">
    <w:p w14:paraId="1B903826" w14:textId="77777777" w:rsidR="00703B55" w:rsidRDefault="00703B55" w:rsidP="00BD27C1">
      <w:r>
        <w:continuationSeparator/>
      </w:r>
    </w:p>
  </w:footnote>
  <w:footnote w:id="1">
    <w:p w14:paraId="218DFBD8" w14:textId="77777777" w:rsidR="002E3CE2" w:rsidRPr="00A32BDD" w:rsidRDefault="002E3CE2" w:rsidP="002E3CE2">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UNEP/CHW.15/13</w:t>
      </w:r>
      <w:r w:rsidRPr="00A32BDD">
        <w:rPr>
          <w:rFonts w:ascii="Simplified Arabic" w:hAnsi="Simplified Arabic" w:hint="cs"/>
          <w:rtl/>
        </w:rPr>
        <w:t>.</w:t>
      </w:r>
    </w:p>
  </w:footnote>
  <w:footnote w:id="2">
    <w:p w14:paraId="5F034AC2" w14:textId="77777777" w:rsidR="002E3CE2" w:rsidRPr="00A32BDD" w:rsidRDefault="002E3CE2" w:rsidP="002E3CE2">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UNEP/CHW.15/INF/18</w:t>
      </w:r>
      <w:r w:rsidRPr="00A32BDD">
        <w:rPr>
          <w:rFonts w:ascii="Simplified Arabic" w:hAnsi="Simplified Arabic" w:hint="cs"/>
          <w:rtl/>
        </w:rPr>
        <w:t>.</w:t>
      </w:r>
    </w:p>
  </w:footnote>
  <w:footnote w:id="3">
    <w:p w14:paraId="1C57E4A6" w14:textId="77777777" w:rsidR="002E3CE2" w:rsidRPr="00A32BDD" w:rsidRDefault="002E3CE2" w:rsidP="002E3CE2">
      <w:pPr>
        <w:pStyle w:val="FootnoteText"/>
        <w:spacing w:after="40" w:line="280" w:lineRule="exact"/>
        <w:ind w:left="1134"/>
        <w:jc w:val="both"/>
        <w:rPr>
          <w:rFonts w:ascii="Simplified Arabic" w:hAnsi="Simplified Arabic"/>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الواردة في الوثيقة </w:t>
      </w:r>
      <w:r>
        <w:rPr>
          <w:sz w:val="18"/>
          <w:szCs w:val="18"/>
        </w:rPr>
        <w:t>UNEP/CHW.15/INF/20</w:t>
      </w:r>
      <w:r w:rsidRPr="00A32BDD">
        <w:rPr>
          <w:rFonts w:ascii="Simplified Arabic" w:hAnsi="Simplified Arabic" w:hint="cs"/>
          <w:rtl/>
        </w:rPr>
        <w:t>.</w:t>
      </w:r>
    </w:p>
  </w:footnote>
  <w:footnote w:id="4">
    <w:p w14:paraId="72EB648E" w14:textId="77777777" w:rsidR="002E3CE2" w:rsidRPr="00A32BDD" w:rsidRDefault="002E3CE2" w:rsidP="002E3CE2">
      <w:pPr>
        <w:pStyle w:val="FootnoteText"/>
        <w:spacing w:after="40" w:line="280" w:lineRule="exact"/>
        <w:ind w:left="1134"/>
        <w:jc w:val="both"/>
        <w:rPr>
          <w:rFonts w:ascii="Simplified Arabic" w:hAnsi="Simplified Arabic"/>
          <w:rtl/>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UNEP/CHW.15/INF/21</w:t>
      </w:r>
      <w:r w:rsidRPr="00A32BDD">
        <w:rPr>
          <w:rFonts w:ascii="Simplified Arabic" w:hAnsi="Simplified Arabic" w:hint="cs"/>
          <w:rtl/>
        </w:rPr>
        <w:t>.</w:t>
      </w:r>
    </w:p>
  </w:footnote>
  <w:footnote w:id="5">
    <w:p w14:paraId="4B7D9AE4" w14:textId="77777777" w:rsidR="002E3CE2" w:rsidRPr="00A32BDD" w:rsidRDefault="002E3CE2" w:rsidP="002E3CE2">
      <w:pPr>
        <w:pStyle w:val="FootnoteText"/>
        <w:spacing w:after="40" w:line="280" w:lineRule="exact"/>
        <w:ind w:left="1134"/>
        <w:jc w:val="both"/>
        <w:rPr>
          <w:rFonts w:ascii="Simplified Arabic" w:hAnsi="Simplified Arabic"/>
          <w:lang w:bidi="ar-EG"/>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UNEP/CHW.15/13/Add.1</w:t>
      </w:r>
      <w:r w:rsidRPr="00A32BDD">
        <w:rPr>
          <w:rFonts w:ascii="Simplified Arabic" w:hAnsi="Simplified Arabic" w:hint="cs"/>
          <w:rtl/>
        </w:rPr>
        <w:t>.</w:t>
      </w:r>
    </w:p>
  </w:footnote>
  <w:footnote w:id="6">
    <w:p w14:paraId="2CABE7AF" w14:textId="77777777" w:rsidR="002E3CE2" w:rsidRPr="00A32BDD" w:rsidRDefault="002E3CE2" w:rsidP="002E3CE2">
      <w:pPr>
        <w:pStyle w:val="FootnoteText"/>
        <w:spacing w:after="40" w:line="280" w:lineRule="exact"/>
        <w:ind w:left="1134"/>
        <w:jc w:val="both"/>
        <w:rPr>
          <w:rFonts w:ascii="Simplified Arabic" w:hAnsi="Simplified Arabic"/>
        </w:rPr>
      </w:pPr>
      <w:r w:rsidRPr="00A32BDD">
        <w:rPr>
          <w:rFonts w:ascii="Simplified Arabic" w:hAnsi="Simplified Arabic" w:hint="cs"/>
          <w:rtl/>
        </w:rPr>
        <w:t>(</w:t>
      </w:r>
      <w:r w:rsidRPr="00A32BDD">
        <w:rPr>
          <w:rStyle w:val="FootnoteReference"/>
          <w:rFonts w:ascii="Simplified Arabic" w:hAnsi="Simplified Arabic" w:hint="cs"/>
        </w:rPr>
        <w:footnoteRef/>
      </w:r>
      <w:r w:rsidRPr="00A32BDD">
        <w:rPr>
          <w:rFonts w:ascii="Simplified Arabic" w:hAnsi="Simplified Arabic" w:hint="cs"/>
          <w:rtl/>
        </w:rPr>
        <w:t xml:space="preserve">)  </w:t>
      </w:r>
      <w:r w:rsidRPr="00A32BDD">
        <w:rPr>
          <w:rStyle w:val="Hyperlink"/>
          <w:rFonts w:asciiTheme="majorBidi" w:hAnsiTheme="majorBidi" w:cstheme="majorBidi"/>
          <w:sz w:val="18"/>
          <w:szCs w:val="18"/>
        </w:rPr>
        <w:t>UNEP/CHW.15/INF/18</w:t>
      </w:r>
      <w:r w:rsidRPr="00A32BDD">
        <w:rPr>
          <w:rFonts w:ascii="Simplified Arabic" w:hAnsi="Simplified Arabic" w:hint="cs"/>
          <w:rt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76AC5"/>
    <w:multiLevelType w:val="hybridMultilevel"/>
    <w:tmpl w:val="8C204FB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67FA4338">
      <w:start w:val="1"/>
      <w:numFmt w:val="decimal"/>
      <w:lvlText w:val="%7-"/>
      <w:lvlJc w:val="left"/>
      <w:pPr>
        <w:ind w:left="5040" w:hanging="360"/>
      </w:pPr>
      <w:rPr>
        <w:rFonts w:ascii="Simplified Arabic" w:eastAsia="Arial" w:hAnsi="Simplified Arabic" w:cs="Simplified Arabic"/>
      </w:r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075D41"/>
    <w:multiLevelType w:val="hybridMultilevel"/>
    <w:tmpl w:val="505C464E"/>
    <w:lvl w:ilvl="0" w:tplc="D63C4FC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2"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6C10B45"/>
    <w:multiLevelType w:val="hybridMultilevel"/>
    <w:tmpl w:val="0B0AF122"/>
    <w:lvl w:ilvl="0" w:tplc="C698289E">
      <w:start w:val="1"/>
      <w:numFmt w:val="arabicAbjad"/>
      <w:lvlText w:val="(%1)"/>
      <w:lvlJc w:val="left"/>
      <w:pPr>
        <w:ind w:left="2381" w:hanging="510"/>
      </w:pPr>
      <w:rPr>
        <w:rFonts w:hint="default"/>
      </w:rPr>
    </w:lvl>
    <w:lvl w:ilvl="1" w:tplc="FFFFFFFF" w:tentative="1">
      <w:start w:val="1"/>
      <w:numFmt w:val="lowerLetter"/>
      <w:lvlText w:val="%2."/>
      <w:lvlJc w:val="left"/>
      <w:pPr>
        <w:ind w:left="2951" w:hanging="360"/>
      </w:pPr>
    </w:lvl>
    <w:lvl w:ilvl="2" w:tplc="FFFFFFFF" w:tentative="1">
      <w:start w:val="1"/>
      <w:numFmt w:val="lowerRoman"/>
      <w:lvlText w:val="%3."/>
      <w:lvlJc w:val="right"/>
      <w:pPr>
        <w:ind w:left="3671" w:hanging="180"/>
      </w:pPr>
    </w:lvl>
    <w:lvl w:ilvl="3" w:tplc="FFFFFFFF" w:tentative="1">
      <w:start w:val="1"/>
      <w:numFmt w:val="decimal"/>
      <w:lvlText w:val="%4."/>
      <w:lvlJc w:val="left"/>
      <w:pPr>
        <w:ind w:left="4391" w:hanging="360"/>
      </w:pPr>
    </w:lvl>
    <w:lvl w:ilvl="4" w:tplc="FFFFFFFF" w:tentative="1">
      <w:start w:val="1"/>
      <w:numFmt w:val="lowerLetter"/>
      <w:lvlText w:val="%5."/>
      <w:lvlJc w:val="left"/>
      <w:pPr>
        <w:ind w:left="5111" w:hanging="360"/>
      </w:pPr>
    </w:lvl>
    <w:lvl w:ilvl="5" w:tplc="FFFFFFFF" w:tentative="1">
      <w:start w:val="1"/>
      <w:numFmt w:val="lowerRoman"/>
      <w:lvlText w:val="%6."/>
      <w:lvlJc w:val="right"/>
      <w:pPr>
        <w:ind w:left="5831" w:hanging="180"/>
      </w:pPr>
    </w:lvl>
    <w:lvl w:ilvl="6" w:tplc="FFFFFFFF" w:tentative="1">
      <w:start w:val="1"/>
      <w:numFmt w:val="decimal"/>
      <w:lvlText w:val="%7."/>
      <w:lvlJc w:val="left"/>
      <w:pPr>
        <w:ind w:left="6551" w:hanging="360"/>
      </w:pPr>
    </w:lvl>
    <w:lvl w:ilvl="7" w:tplc="FFFFFFFF" w:tentative="1">
      <w:start w:val="1"/>
      <w:numFmt w:val="lowerLetter"/>
      <w:lvlText w:val="%8."/>
      <w:lvlJc w:val="left"/>
      <w:pPr>
        <w:ind w:left="7271" w:hanging="360"/>
      </w:pPr>
    </w:lvl>
    <w:lvl w:ilvl="8" w:tplc="FFFFFFFF" w:tentative="1">
      <w:start w:val="1"/>
      <w:numFmt w:val="lowerRoman"/>
      <w:lvlText w:val="%9."/>
      <w:lvlJc w:val="right"/>
      <w:pPr>
        <w:ind w:left="7991" w:hanging="180"/>
      </w:pPr>
    </w:lvl>
  </w:abstractNum>
  <w:abstractNum w:abstractNumId="5"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63379925">
    <w:abstractNumId w:val="3"/>
    <w:lvlOverride w:ilvl="0">
      <w:lvl w:ilvl="0" w:tplc="08090001">
        <w:start w:val="1"/>
        <w:numFmt w:val="bullet"/>
        <w:lvlText w:val=""/>
        <w:lvlJc w:val="left"/>
        <w:pPr>
          <w:ind w:left="720" w:hanging="360"/>
        </w:pPr>
        <w:rPr>
          <w:rFonts w:ascii="Symbol" w:hAnsi="Symbol" w:hint="default"/>
        </w:rPr>
      </w:lvl>
    </w:lvlOverride>
  </w:num>
  <w:num w:numId="2" w16cid:durableId="932472161">
    <w:abstractNumId w:val="2"/>
    <w:lvlOverride w:ilvl="0">
      <w:lvl w:ilvl="0" w:tplc="DBF84888">
        <w:start w:val="1"/>
        <w:numFmt w:val="bullet"/>
        <w:lvlText w:val="-"/>
        <w:lvlJc w:val="left"/>
        <w:pPr>
          <w:ind w:left="720" w:hanging="360"/>
        </w:pPr>
        <w:rPr>
          <w:rFonts w:ascii="Courier New" w:hAnsi="Courier New" w:hint="default"/>
        </w:rPr>
      </w:lvl>
    </w:lvlOverride>
  </w:num>
  <w:num w:numId="3" w16cid:durableId="317999038">
    <w:abstractNumId w:val="5"/>
    <w:lvlOverride w:ilvl="0">
      <w:lvl w:ilvl="0" w:tplc="04090005">
        <w:start w:val="1"/>
        <w:numFmt w:val="bullet"/>
        <w:lvlText w:val=""/>
        <w:lvlJc w:val="left"/>
        <w:pPr>
          <w:ind w:left="720" w:hanging="360"/>
        </w:pPr>
        <w:rPr>
          <w:rFonts w:ascii="Wingdings" w:hAnsi="Wingdings" w:hint="default"/>
        </w:rPr>
      </w:lvl>
    </w:lvlOverride>
  </w:num>
  <w:num w:numId="4" w16cid:durableId="1897086548">
    <w:abstractNumId w:val="1"/>
  </w:num>
  <w:num w:numId="5" w16cid:durableId="1504709065">
    <w:abstractNumId w:val="0"/>
  </w:num>
  <w:num w:numId="6" w16cid:durableId="945948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7C1"/>
    <w:rsid w:val="002E3CE2"/>
    <w:rsid w:val="00703B55"/>
    <w:rsid w:val="00836B73"/>
    <w:rsid w:val="00BD27C1"/>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3AB1D"/>
  <w15:chartTrackingRefBased/>
  <w15:docId w15:val="{50B88A4D-5EA2-4704-A544-219D94C67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27C1"/>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BD27C1"/>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qFormat/>
    <w:rsid w:val="00BD27C1"/>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link w:val="BVIfnrCharCharCharChar"/>
    <w:qFormat/>
    <w:rsid w:val="00BD27C1"/>
    <w:rPr>
      <w:vertAlign w:val="superscript"/>
    </w:rPr>
  </w:style>
  <w:style w:type="character" w:styleId="Hyperlink">
    <w:name w:val="Hyperlink"/>
    <w:uiPriority w:val="99"/>
    <w:rsid w:val="00BD27C1"/>
    <w:rPr>
      <w:color w:val="0000FF"/>
      <w:u w:val="single"/>
    </w:rPr>
  </w:style>
  <w:style w:type="paragraph" w:customStyle="1" w:styleId="Normal-pool">
    <w:name w:val="Normal-pool"/>
    <w:link w:val="Normal-poolChar"/>
    <w:qFormat/>
    <w:rsid w:val="00BD27C1"/>
    <w:pPr>
      <w:tabs>
        <w:tab w:val="left" w:pos="1247"/>
        <w:tab w:val="left" w:pos="1814"/>
        <w:tab w:val="left" w:pos="2381"/>
        <w:tab w:val="left" w:pos="2948"/>
        <w:tab w:val="left" w:pos="3515"/>
      </w:tabs>
      <w:bidi/>
      <w:spacing w:after="0" w:line="240" w:lineRule="auto"/>
    </w:pPr>
    <w:rPr>
      <w:rFonts w:ascii="Arial" w:eastAsia="Arial" w:hAnsi="Arial" w:cs="Arial"/>
      <w:sz w:val="20"/>
      <w:szCs w:val="20"/>
      <w:lang w:val="en-GB" w:eastAsia="en-US"/>
    </w:rPr>
  </w:style>
  <w:style w:type="character" w:customStyle="1" w:styleId="NormalnumberChar">
    <w:name w:val="Normal_number Char"/>
    <w:link w:val="Normalnumber"/>
    <w:qFormat/>
    <w:locked/>
    <w:rsid w:val="00BD27C1"/>
    <w:rPr>
      <w:lang w:val="fr-FR" w:eastAsia="x-none"/>
    </w:rPr>
  </w:style>
  <w:style w:type="paragraph" w:customStyle="1" w:styleId="Normalnumber">
    <w:name w:val="Normal_number"/>
    <w:basedOn w:val="Normal"/>
    <w:link w:val="NormalnumberChar"/>
    <w:qFormat/>
    <w:rsid w:val="00BD27C1"/>
    <w:pPr>
      <w:tabs>
        <w:tab w:val="left" w:pos="1247"/>
        <w:tab w:val="left" w:pos="1814"/>
        <w:tab w:val="left" w:pos="2381"/>
        <w:tab w:val="left" w:pos="2948"/>
        <w:tab w:val="left" w:pos="3515"/>
        <w:tab w:val="left" w:pos="4082"/>
      </w:tabs>
      <w:bidi w:val="0"/>
      <w:spacing w:after="120"/>
    </w:pPr>
    <w:rPr>
      <w:rFonts w:asciiTheme="minorHAnsi" w:eastAsiaTheme="minorEastAsia" w:hAnsiTheme="minorHAnsi" w:cstheme="minorBidi"/>
      <w:sz w:val="22"/>
      <w:szCs w:val="22"/>
      <w:lang w:val="fr-FR" w:eastAsia="x-none"/>
    </w:rPr>
  </w:style>
  <w:style w:type="character" w:customStyle="1" w:styleId="Normal-poolChar">
    <w:name w:val="Normal-pool Char"/>
    <w:link w:val="Normal-pool"/>
    <w:locked/>
    <w:rsid w:val="00BD27C1"/>
    <w:rPr>
      <w:rFonts w:ascii="Arial" w:eastAsia="Arial" w:hAnsi="Arial" w:cs="Arial"/>
      <w:sz w:val="20"/>
      <w:szCs w:val="20"/>
      <w:lang w:val="en-GB" w:eastAsia="en-US"/>
    </w:rPr>
  </w:style>
  <w:style w:type="paragraph" w:styleId="ListParagraph">
    <w:name w:val="List Paragraph"/>
    <w:basedOn w:val="Normal"/>
    <w:uiPriority w:val="34"/>
    <w:qFormat/>
    <w:rsid w:val="00BD27C1"/>
    <w:pPr>
      <w:bidi w:val="0"/>
      <w:spacing w:after="200" w:line="276" w:lineRule="auto"/>
      <w:ind w:left="720"/>
      <w:contextualSpacing/>
    </w:pPr>
    <w:rPr>
      <w:rFonts w:ascii="Calibri" w:eastAsia="Calibri" w:hAnsi="Calibri" w:cs="Arial"/>
      <w:sz w:val="22"/>
      <w:szCs w:val="22"/>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BD27C1"/>
    <w:pPr>
      <w:bidi w:val="0"/>
      <w:spacing w:before="120" w:after="160" w:line="240" w:lineRule="exact"/>
    </w:pPr>
    <w:rPr>
      <w:rFonts w:asciiTheme="minorHAnsi" w:eastAsiaTheme="minorEastAsia" w:hAnsiTheme="minorHAnsi" w:cstheme="minorBidi"/>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2041</Characters>
  <Application>Microsoft Office Word</Application>
  <DocSecurity>0</DocSecurity>
  <Lines>17</Lines>
  <Paragraphs>4</Paragraphs>
  <ScaleCrop>false</ScaleCrop>
  <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2023-04-27T12:54:00Z</dcterms:created>
  <dcterms:modified xsi:type="dcterms:W3CDTF">2023-04-27T12:54:00Z</dcterms:modified>
</cp:coreProperties>
</file>