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6DEB93" w14:textId="77777777" w:rsidR="001B26C6" w:rsidRPr="00B831E7" w:rsidRDefault="001B26C6" w:rsidP="001B26C6">
      <w:pPr>
        <w:pStyle w:val="CH1"/>
        <w:spacing w:before="0"/>
      </w:pPr>
      <w:r w:rsidRPr="00B831E7">
        <w:tab/>
      </w:r>
      <w:r w:rsidRPr="00B831E7">
        <w:tab/>
        <w:t xml:space="preserve">BC-15/19: </w:t>
      </w:r>
      <w:bookmarkStart w:id="0" w:name="_Hlk106797234"/>
      <w:r w:rsidRPr="00B831E7">
        <w:t>Providing further legal clarity</w:t>
      </w:r>
      <w:bookmarkEnd w:id="0"/>
    </w:p>
    <w:p w14:paraId="50F34975" w14:textId="77777777" w:rsidR="001B26C6" w:rsidRPr="00B831E7" w:rsidRDefault="001B26C6" w:rsidP="001B26C6">
      <w:pPr>
        <w:pStyle w:val="Normal-pool"/>
        <w:spacing w:after="120"/>
        <w:ind w:left="1247" w:firstLine="624"/>
        <w:rPr>
          <w:i/>
          <w:iCs/>
        </w:rPr>
      </w:pPr>
      <w:r w:rsidRPr="00B831E7">
        <w:rPr>
          <w:i/>
          <w:iCs/>
        </w:rPr>
        <w:t>The Conference of the Parties</w:t>
      </w:r>
    </w:p>
    <w:p w14:paraId="2055EC4A" w14:textId="77777777" w:rsidR="001B26C6" w:rsidRPr="00B831E7" w:rsidRDefault="001B26C6" w:rsidP="001B26C6">
      <w:pPr>
        <w:pStyle w:val="Normal-pool"/>
        <w:numPr>
          <w:ilvl w:val="6"/>
          <w:numId w:val="33"/>
        </w:numPr>
        <w:tabs>
          <w:tab w:val="clear" w:pos="1247"/>
          <w:tab w:val="clear" w:pos="1814"/>
          <w:tab w:val="clear" w:pos="2381"/>
          <w:tab w:val="clear" w:pos="2948"/>
          <w:tab w:val="clear" w:pos="3515"/>
          <w:tab w:val="clear" w:pos="4082"/>
        </w:tabs>
        <w:spacing w:after="120"/>
        <w:ind w:left="1247" w:firstLine="624"/>
        <w:rPr>
          <w:rFonts w:asciiTheme="majorBidi" w:hAnsiTheme="majorBidi" w:cstheme="majorBidi"/>
        </w:rPr>
      </w:pPr>
      <w:bookmarkStart w:id="1" w:name="_Hlk106797755"/>
      <w:r w:rsidRPr="00B831E7">
        <w:rPr>
          <w:rFonts w:asciiTheme="majorBidi" w:hAnsiTheme="majorBidi" w:cstheme="majorBidi"/>
          <w:i/>
          <w:iCs/>
        </w:rPr>
        <w:t>Welcomes</w:t>
      </w:r>
      <w:r w:rsidRPr="00B831E7">
        <w:rPr>
          <w:rFonts w:asciiTheme="majorBidi" w:hAnsiTheme="majorBidi" w:cstheme="majorBidi"/>
        </w:rPr>
        <w:t xml:space="preserve"> the work undertaken by the expert working group </w:t>
      </w:r>
      <w:bookmarkStart w:id="2" w:name="_Hlk20480326"/>
      <w:r w:rsidRPr="00B831E7">
        <w:rPr>
          <w:rFonts w:asciiTheme="majorBidi" w:hAnsiTheme="majorBidi" w:cstheme="majorBidi"/>
        </w:rPr>
        <w:t xml:space="preserve">on the review of Annexes I, III and IV and </w:t>
      </w:r>
      <w:r w:rsidRPr="00B831E7">
        <w:rPr>
          <w:rFonts w:asciiTheme="majorBidi" w:hAnsiTheme="majorBidi" w:cstheme="majorBidi"/>
          <w:color w:val="000000"/>
        </w:rPr>
        <w:t xml:space="preserve">entries A1180 in Annex VIII and B1110 in Annex IX </w:t>
      </w:r>
      <w:bookmarkEnd w:id="2"/>
      <w:r w:rsidRPr="00B831E7">
        <w:rPr>
          <w:rFonts w:asciiTheme="majorBidi" w:hAnsiTheme="majorBidi" w:cstheme="majorBidi"/>
        </w:rPr>
        <w:t>to the Basel Convention</w:t>
      </w:r>
      <w:r w:rsidRPr="00B831E7">
        <w:rPr>
          <w:rFonts w:asciiTheme="majorBidi" w:eastAsia="Calibri" w:hAnsiTheme="majorBidi" w:cstheme="majorBidi"/>
        </w:rPr>
        <w:t xml:space="preserve"> </w:t>
      </w:r>
      <w:bookmarkEnd w:id="1"/>
      <w:r w:rsidRPr="00B831E7">
        <w:rPr>
          <w:rFonts w:asciiTheme="majorBidi" w:hAnsiTheme="majorBidi" w:cstheme="majorBidi"/>
        </w:rPr>
        <w:t xml:space="preserve">on the Control of Transboundary Movements of Hazardous Wastes and Their </w:t>
      </w:r>
      <w:proofErr w:type="gramStart"/>
      <w:r w:rsidRPr="00B831E7">
        <w:rPr>
          <w:rFonts w:asciiTheme="majorBidi" w:hAnsiTheme="majorBidi" w:cstheme="majorBidi"/>
        </w:rPr>
        <w:t>Disposal;</w:t>
      </w:r>
      <w:proofErr w:type="gramEnd"/>
    </w:p>
    <w:p w14:paraId="1B56A41C" w14:textId="77777777" w:rsidR="001B26C6" w:rsidRPr="00B831E7" w:rsidRDefault="001B26C6" w:rsidP="001B26C6">
      <w:pPr>
        <w:pStyle w:val="Normal-pool"/>
        <w:numPr>
          <w:ilvl w:val="6"/>
          <w:numId w:val="33"/>
        </w:numPr>
        <w:tabs>
          <w:tab w:val="clear" w:pos="1247"/>
          <w:tab w:val="clear" w:pos="1814"/>
          <w:tab w:val="clear" w:pos="2381"/>
          <w:tab w:val="clear" w:pos="2948"/>
          <w:tab w:val="clear" w:pos="3515"/>
          <w:tab w:val="clear" w:pos="4082"/>
        </w:tabs>
        <w:spacing w:after="120"/>
        <w:ind w:left="1247" w:firstLine="624"/>
        <w:rPr>
          <w:rFonts w:asciiTheme="majorBidi" w:hAnsiTheme="majorBidi" w:cstheme="majorBidi"/>
        </w:rPr>
      </w:pPr>
      <w:r w:rsidRPr="00B831E7">
        <w:rPr>
          <w:rFonts w:asciiTheme="majorBidi" w:hAnsiTheme="majorBidi" w:cstheme="majorBidi"/>
          <w:i/>
          <w:iCs/>
        </w:rPr>
        <w:t>Takes note</w:t>
      </w:r>
      <w:r w:rsidRPr="00B831E7">
        <w:rPr>
          <w:rFonts w:asciiTheme="majorBidi" w:hAnsiTheme="majorBidi" w:cstheme="majorBidi"/>
        </w:rPr>
        <w:t xml:space="preserve"> of the information on the work of the expert working group;</w:t>
      </w:r>
      <w:r w:rsidRPr="00B831E7">
        <w:rPr>
          <w:rFonts w:asciiTheme="majorBidi" w:hAnsiTheme="majorBidi" w:cstheme="majorBidi"/>
          <w:vertAlign w:val="superscript"/>
        </w:rPr>
        <w:footnoteReference w:id="1"/>
      </w:r>
      <w:r w:rsidRPr="00B831E7">
        <w:rPr>
          <w:rFonts w:asciiTheme="majorBidi" w:hAnsiTheme="majorBidi" w:cstheme="majorBidi"/>
        </w:rPr>
        <w:t xml:space="preserve"> of the group’s recommendations on proposals for possible amendments to Annex IV and to entries A1180 in Annex VIII and B1110 in Annex IX to the Basel Convention and its findings on the consequential implications of the review of Annex IV to the Convention, reflecting the outcome of its fourth meeting;</w:t>
      </w:r>
      <w:r w:rsidRPr="00B831E7">
        <w:rPr>
          <w:rFonts w:asciiTheme="majorBidi" w:hAnsiTheme="majorBidi" w:cstheme="majorBidi"/>
          <w:vertAlign w:val="superscript"/>
        </w:rPr>
        <w:footnoteReference w:id="2"/>
      </w:r>
      <w:r w:rsidRPr="00B831E7">
        <w:rPr>
          <w:rFonts w:asciiTheme="majorBidi" w:hAnsiTheme="majorBidi" w:cstheme="majorBidi"/>
        </w:rPr>
        <w:t xml:space="preserve"> of the </w:t>
      </w:r>
      <w:r w:rsidRPr="00B831E7">
        <w:rPr>
          <w:rFonts w:asciiTheme="majorBidi" w:hAnsiTheme="majorBidi" w:cstheme="majorBidi"/>
          <w:color w:val="000000"/>
        </w:rPr>
        <w:t>draft versions of the notification document, the movement document, the instructions for completing both documents, the national reporting format and the manual for completing the format for national reporting, showing where adjustments may need to be made as a consequence of possible amendments to Annex IV;</w:t>
      </w:r>
      <w:r w:rsidRPr="00B831E7">
        <w:rPr>
          <w:rFonts w:asciiTheme="majorBidi" w:hAnsiTheme="majorBidi" w:cstheme="majorBidi"/>
          <w:vertAlign w:val="superscript"/>
        </w:rPr>
        <w:footnoteReference w:id="3"/>
      </w:r>
      <w:r w:rsidRPr="00B831E7">
        <w:rPr>
          <w:rFonts w:asciiTheme="majorBidi" w:hAnsiTheme="majorBidi" w:cstheme="majorBidi"/>
          <w:color w:val="000000"/>
        </w:rPr>
        <w:t xml:space="preserve"> and of progress made in the review of Annexes I and III;</w:t>
      </w:r>
      <w:r w:rsidRPr="00B831E7">
        <w:rPr>
          <w:rFonts w:asciiTheme="majorBidi" w:hAnsiTheme="majorBidi" w:cstheme="majorBidi"/>
          <w:vertAlign w:val="superscript"/>
        </w:rPr>
        <w:footnoteReference w:id="4"/>
      </w:r>
      <w:r w:rsidRPr="00B831E7">
        <w:rPr>
          <w:rFonts w:asciiTheme="majorBidi" w:hAnsiTheme="majorBidi" w:cstheme="majorBidi"/>
          <w:vertAlign w:val="superscript"/>
        </w:rPr>
        <w:t xml:space="preserve"> </w:t>
      </w:r>
    </w:p>
    <w:p w14:paraId="65E275C0" w14:textId="77777777" w:rsidR="001B26C6" w:rsidRPr="00B831E7" w:rsidRDefault="001B26C6" w:rsidP="001B26C6">
      <w:pPr>
        <w:pStyle w:val="Normal-pool"/>
        <w:numPr>
          <w:ilvl w:val="6"/>
          <w:numId w:val="33"/>
        </w:numPr>
        <w:tabs>
          <w:tab w:val="clear" w:pos="1247"/>
          <w:tab w:val="clear" w:pos="1814"/>
          <w:tab w:val="clear" w:pos="2381"/>
          <w:tab w:val="clear" w:pos="2948"/>
          <w:tab w:val="clear" w:pos="3515"/>
          <w:tab w:val="clear" w:pos="4082"/>
        </w:tabs>
        <w:spacing w:after="120"/>
        <w:ind w:left="1247" w:firstLine="624"/>
        <w:rPr>
          <w:rFonts w:asciiTheme="majorBidi" w:hAnsiTheme="majorBidi" w:cstheme="majorBidi"/>
        </w:rPr>
      </w:pPr>
      <w:bookmarkStart w:id="3" w:name="_Hlk106797555"/>
      <w:r w:rsidRPr="00B831E7">
        <w:rPr>
          <w:rFonts w:asciiTheme="majorBidi" w:hAnsiTheme="majorBidi" w:cstheme="majorBidi"/>
          <w:i/>
          <w:iCs/>
        </w:rPr>
        <w:t>Recalls</w:t>
      </w:r>
      <w:r w:rsidRPr="00B831E7">
        <w:rPr>
          <w:rFonts w:asciiTheme="majorBidi" w:hAnsiTheme="majorBidi" w:cstheme="majorBidi"/>
        </w:rPr>
        <w:t xml:space="preserve"> the mandate of the expert working group as set out in decisions BC-13/2, BC</w:t>
      </w:r>
      <w:r w:rsidRPr="00B831E7">
        <w:rPr>
          <w:rFonts w:asciiTheme="majorBidi" w:hAnsiTheme="majorBidi" w:cstheme="majorBidi"/>
        </w:rPr>
        <w:noBreakHyphen/>
        <w:t xml:space="preserve">14/13 and BC-14/16 and decides to remove the review of entries A1180 in Annex VIII and B1110 in Annex IX from the mandate of the </w:t>
      </w:r>
      <w:proofErr w:type="gramStart"/>
      <w:r w:rsidRPr="00B831E7">
        <w:rPr>
          <w:rFonts w:asciiTheme="majorBidi" w:hAnsiTheme="majorBidi" w:cstheme="majorBidi"/>
        </w:rPr>
        <w:t>group;</w:t>
      </w:r>
      <w:proofErr w:type="gramEnd"/>
    </w:p>
    <w:p w14:paraId="3BCC2DB4" w14:textId="77777777" w:rsidR="001B26C6" w:rsidRPr="00B831E7" w:rsidRDefault="001B26C6" w:rsidP="001B26C6">
      <w:pPr>
        <w:pStyle w:val="Normal-pool"/>
        <w:numPr>
          <w:ilvl w:val="6"/>
          <w:numId w:val="33"/>
        </w:numPr>
        <w:tabs>
          <w:tab w:val="clear" w:pos="1247"/>
          <w:tab w:val="clear" w:pos="1814"/>
          <w:tab w:val="clear" w:pos="2381"/>
          <w:tab w:val="clear" w:pos="2948"/>
          <w:tab w:val="clear" w:pos="3515"/>
          <w:tab w:val="clear" w:pos="4082"/>
        </w:tabs>
        <w:spacing w:after="120"/>
        <w:ind w:left="1247" w:firstLine="624"/>
        <w:rPr>
          <w:rFonts w:asciiTheme="majorBidi" w:hAnsiTheme="majorBidi" w:cstheme="majorBidi"/>
        </w:rPr>
      </w:pPr>
      <w:r w:rsidRPr="00B831E7">
        <w:rPr>
          <w:rFonts w:asciiTheme="majorBidi" w:hAnsiTheme="majorBidi" w:cstheme="majorBidi"/>
          <w:i/>
          <w:iCs/>
        </w:rPr>
        <w:t>Acknowledges</w:t>
      </w:r>
      <w:r w:rsidRPr="00B831E7">
        <w:rPr>
          <w:rFonts w:asciiTheme="majorBidi" w:hAnsiTheme="majorBidi" w:cstheme="majorBidi"/>
        </w:rPr>
        <w:t xml:space="preserve"> the need for further discussion on amendments to Annex IV </w:t>
      </w:r>
      <w:bookmarkStart w:id="4" w:name="_Hlk106797904"/>
      <w:r w:rsidRPr="00B831E7">
        <w:rPr>
          <w:rFonts w:asciiTheme="majorBidi" w:hAnsiTheme="majorBidi" w:cstheme="majorBidi"/>
        </w:rPr>
        <w:t xml:space="preserve">– for example, on the following issues, among others, which were discussed during </w:t>
      </w:r>
      <w:r w:rsidRPr="00B831E7">
        <w:rPr>
          <w:rFonts w:asciiTheme="majorBidi" w:hAnsiTheme="majorBidi" w:cstheme="majorBidi"/>
          <w:bCs/>
        </w:rPr>
        <w:t>the fifteenth meeting of the Conference of the Parties</w:t>
      </w:r>
      <w:r w:rsidRPr="00B831E7">
        <w:rPr>
          <w:rFonts w:asciiTheme="majorBidi" w:hAnsiTheme="majorBidi" w:cstheme="majorBidi"/>
        </w:rPr>
        <w:t>:</w:t>
      </w:r>
      <w:bookmarkEnd w:id="4"/>
    </w:p>
    <w:bookmarkEnd w:id="3"/>
    <w:p w14:paraId="23021BE6" w14:textId="77777777" w:rsidR="001B26C6" w:rsidRPr="00B831E7" w:rsidRDefault="001B26C6" w:rsidP="001B26C6">
      <w:pPr>
        <w:pStyle w:val="Normal-pool"/>
        <w:numPr>
          <w:ilvl w:val="0"/>
          <w:numId w:val="34"/>
        </w:numPr>
        <w:tabs>
          <w:tab w:val="clear" w:pos="1247"/>
          <w:tab w:val="clear" w:pos="1814"/>
          <w:tab w:val="clear" w:pos="2381"/>
          <w:tab w:val="clear" w:pos="2948"/>
          <w:tab w:val="clear" w:pos="3515"/>
          <w:tab w:val="clear" w:pos="4082"/>
        </w:tabs>
        <w:spacing w:after="120"/>
        <w:ind w:left="1247" w:firstLine="624"/>
        <w:rPr>
          <w:rFonts w:asciiTheme="majorBidi" w:hAnsiTheme="majorBidi" w:cstheme="majorBidi"/>
        </w:rPr>
      </w:pPr>
      <w:r w:rsidRPr="00B831E7">
        <w:rPr>
          <w:rFonts w:asciiTheme="majorBidi" w:hAnsiTheme="majorBidi" w:cstheme="majorBidi"/>
        </w:rPr>
        <w:t xml:space="preserve">General introduction, captions and introductory text for sections A and B of Annex </w:t>
      </w:r>
      <w:proofErr w:type="gramStart"/>
      <w:r w:rsidRPr="00B831E7">
        <w:rPr>
          <w:rFonts w:asciiTheme="majorBidi" w:hAnsiTheme="majorBidi" w:cstheme="majorBidi"/>
        </w:rPr>
        <w:t>IV;</w:t>
      </w:r>
      <w:proofErr w:type="gramEnd"/>
    </w:p>
    <w:p w14:paraId="22F5014D" w14:textId="77777777" w:rsidR="001B26C6" w:rsidRPr="00B831E7" w:rsidRDefault="001B26C6" w:rsidP="001B26C6">
      <w:pPr>
        <w:pStyle w:val="Normal-pool"/>
        <w:numPr>
          <w:ilvl w:val="0"/>
          <w:numId w:val="34"/>
        </w:numPr>
        <w:tabs>
          <w:tab w:val="clear" w:pos="1247"/>
          <w:tab w:val="clear" w:pos="1814"/>
          <w:tab w:val="clear" w:pos="2381"/>
          <w:tab w:val="clear" w:pos="2948"/>
          <w:tab w:val="clear" w:pos="3515"/>
          <w:tab w:val="clear" w:pos="4082"/>
        </w:tabs>
        <w:spacing w:after="120"/>
        <w:ind w:left="1247" w:firstLine="624"/>
        <w:rPr>
          <w:rFonts w:asciiTheme="majorBidi" w:hAnsiTheme="majorBidi" w:cstheme="majorBidi"/>
        </w:rPr>
      </w:pPr>
      <w:r w:rsidRPr="00B831E7">
        <w:rPr>
          <w:rFonts w:asciiTheme="majorBidi" w:hAnsiTheme="majorBidi" w:cstheme="majorBidi"/>
        </w:rPr>
        <w:t xml:space="preserve">Keeping, deleting, merging or splitting existing </w:t>
      </w:r>
      <w:proofErr w:type="gramStart"/>
      <w:r w:rsidRPr="00B831E7">
        <w:rPr>
          <w:rFonts w:asciiTheme="majorBidi" w:hAnsiTheme="majorBidi" w:cstheme="majorBidi"/>
        </w:rPr>
        <w:t>operations;</w:t>
      </w:r>
      <w:proofErr w:type="gramEnd"/>
      <w:r w:rsidRPr="00B831E7">
        <w:rPr>
          <w:rFonts w:asciiTheme="majorBidi" w:hAnsiTheme="majorBidi" w:cstheme="majorBidi"/>
        </w:rPr>
        <w:t xml:space="preserve"> </w:t>
      </w:r>
    </w:p>
    <w:p w14:paraId="2C3FAA09" w14:textId="77777777" w:rsidR="001B26C6" w:rsidRPr="00B831E7" w:rsidRDefault="001B26C6" w:rsidP="001B26C6">
      <w:pPr>
        <w:pStyle w:val="Normal-pool"/>
        <w:numPr>
          <w:ilvl w:val="0"/>
          <w:numId w:val="34"/>
        </w:numPr>
        <w:tabs>
          <w:tab w:val="clear" w:pos="1247"/>
          <w:tab w:val="clear" w:pos="1814"/>
          <w:tab w:val="clear" w:pos="2381"/>
          <w:tab w:val="clear" w:pos="2948"/>
          <w:tab w:val="clear" w:pos="3515"/>
          <w:tab w:val="clear" w:pos="4082"/>
        </w:tabs>
        <w:spacing w:after="120"/>
        <w:ind w:left="1247" w:firstLine="624"/>
        <w:rPr>
          <w:rFonts w:asciiTheme="majorBidi" w:hAnsiTheme="majorBidi" w:cstheme="majorBidi"/>
        </w:rPr>
      </w:pPr>
      <w:r w:rsidRPr="00B831E7">
        <w:rPr>
          <w:rFonts w:asciiTheme="majorBidi" w:hAnsiTheme="majorBidi" w:cstheme="majorBidi"/>
        </w:rPr>
        <w:t xml:space="preserve">Inclusion of new operations – for example, on preparing for reuse and catch-all </w:t>
      </w:r>
      <w:proofErr w:type="gramStart"/>
      <w:r w:rsidRPr="00B831E7">
        <w:rPr>
          <w:rFonts w:asciiTheme="majorBidi" w:hAnsiTheme="majorBidi" w:cstheme="majorBidi"/>
        </w:rPr>
        <w:t>operations;</w:t>
      </w:r>
      <w:proofErr w:type="gramEnd"/>
      <w:r w:rsidRPr="00B831E7">
        <w:rPr>
          <w:rFonts w:asciiTheme="majorBidi" w:hAnsiTheme="majorBidi" w:cstheme="majorBidi"/>
        </w:rPr>
        <w:t xml:space="preserve"> </w:t>
      </w:r>
    </w:p>
    <w:p w14:paraId="216AE48D" w14:textId="77777777" w:rsidR="001B26C6" w:rsidRPr="00B831E7" w:rsidRDefault="001B26C6" w:rsidP="001B26C6">
      <w:pPr>
        <w:pStyle w:val="Normal-pool"/>
        <w:numPr>
          <w:ilvl w:val="0"/>
          <w:numId w:val="34"/>
        </w:numPr>
        <w:tabs>
          <w:tab w:val="clear" w:pos="1247"/>
          <w:tab w:val="clear" w:pos="1814"/>
          <w:tab w:val="clear" w:pos="2381"/>
          <w:tab w:val="clear" w:pos="2948"/>
          <w:tab w:val="clear" w:pos="3515"/>
          <w:tab w:val="clear" w:pos="4082"/>
        </w:tabs>
        <w:spacing w:after="120"/>
        <w:ind w:left="1247" w:firstLine="624"/>
        <w:rPr>
          <w:rFonts w:asciiTheme="majorBidi" w:hAnsiTheme="majorBidi" w:cstheme="majorBidi"/>
        </w:rPr>
      </w:pPr>
      <w:r w:rsidRPr="00B831E7">
        <w:rPr>
          <w:rFonts w:asciiTheme="majorBidi" w:hAnsiTheme="majorBidi" w:cstheme="majorBidi"/>
        </w:rPr>
        <w:t xml:space="preserve">Consideration of non-environmentally sound management operations – for example, open </w:t>
      </w:r>
      <w:proofErr w:type="gramStart"/>
      <w:r w:rsidRPr="00B831E7">
        <w:rPr>
          <w:rFonts w:asciiTheme="majorBidi" w:hAnsiTheme="majorBidi" w:cstheme="majorBidi"/>
        </w:rPr>
        <w:t>burning;</w:t>
      </w:r>
      <w:proofErr w:type="gramEnd"/>
    </w:p>
    <w:p w14:paraId="1CCEC16D" w14:textId="77777777" w:rsidR="001B26C6" w:rsidRPr="00B831E7" w:rsidRDefault="001B26C6" w:rsidP="001B26C6">
      <w:pPr>
        <w:pStyle w:val="Normal-pool"/>
        <w:numPr>
          <w:ilvl w:val="0"/>
          <w:numId w:val="34"/>
        </w:numPr>
        <w:tabs>
          <w:tab w:val="clear" w:pos="1247"/>
          <w:tab w:val="clear" w:pos="1814"/>
          <w:tab w:val="clear" w:pos="2381"/>
          <w:tab w:val="clear" w:pos="2948"/>
          <w:tab w:val="clear" w:pos="3515"/>
          <w:tab w:val="clear" w:pos="4082"/>
        </w:tabs>
        <w:spacing w:after="120"/>
        <w:ind w:left="1247" w:firstLine="624"/>
        <w:rPr>
          <w:rFonts w:asciiTheme="majorBidi" w:hAnsiTheme="majorBidi" w:cstheme="majorBidi"/>
        </w:rPr>
      </w:pPr>
      <w:r w:rsidRPr="00B831E7">
        <w:rPr>
          <w:rFonts w:asciiTheme="majorBidi" w:hAnsiTheme="majorBidi" w:cstheme="majorBidi"/>
        </w:rPr>
        <w:t xml:space="preserve">Inclusion of clarifying </w:t>
      </w:r>
      <w:proofErr w:type="gramStart"/>
      <w:r w:rsidRPr="00B831E7">
        <w:rPr>
          <w:rFonts w:asciiTheme="majorBidi" w:hAnsiTheme="majorBidi" w:cstheme="majorBidi"/>
        </w:rPr>
        <w:t>examples;</w:t>
      </w:r>
      <w:proofErr w:type="gramEnd"/>
      <w:r w:rsidRPr="00B831E7">
        <w:rPr>
          <w:rFonts w:asciiTheme="majorBidi" w:hAnsiTheme="majorBidi" w:cstheme="majorBidi"/>
        </w:rPr>
        <w:t xml:space="preserve"> </w:t>
      </w:r>
    </w:p>
    <w:p w14:paraId="42DF4206" w14:textId="77777777" w:rsidR="001B26C6" w:rsidRPr="00B831E7" w:rsidRDefault="001B26C6" w:rsidP="001B26C6">
      <w:pPr>
        <w:pStyle w:val="Normal-pool"/>
        <w:numPr>
          <w:ilvl w:val="0"/>
          <w:numId w:val="34"/>
        </w:numPr>
        <w:tabs>
          <w:tab w:val="clear" w:pos="1247"/>
          <w:tab w:val="clear" w:pos="1814"/>
          <w:tab w:val="clear" w:pos="2381"/>
          <w:tab w:val="clear" w:pos="2948"/>
          <w:tab w:val="clear" w:pos="3515"/>
          <w:tab w:val="clear" w:pos="4082"/>
        </w:tabs>
        <w:spacing w:after="120"/>
        <w:ind w:left="1247" w:firstLine="624"/>
        <w:rPr>
          <w:rFonts w:asciiTheme="majorBidi" w:hAnsiTheme="majorBidi" w:cstheme="majorBidi"/>
        </w:rPr>
      </w:pPr>
      <w:r w:rsidRPr="00B831E7">
        <w:rPr>
          <w:rFonts w:asciiTheme="majorBidi" w:hAnsiTheme="majorBidi" w:cstheme="majorBidi"/>
        </w:rPr>
        <w:t xml:space="preserve">Ordering and numbering of the </w:t>
      </w:r>
      <w:proofErr w:type="gramStart"/>
      <w:r w:rsidRPr="00B831E7">
        <w:rPr>
          <w:rFonts w:asciiTheme="majorBidi" w:hAnsiTheme="majorBidi" w:cstheme="majorBidi"/>
        </w:rPr>
        <w:t>operations;</w:t>
      </w:r>
      <w:proofErr w:type="gramEnd"/>
      <w:r w:rsidRPr="00B831E7">
        <w:rPr>
          <w:rFonts w:asciiTheme="majorBidi" w:hAnsiTheme="majorBidi" w:cstheme="majorBidi"/>
        </w:rPr>
        <w:t xml:space="preserve"> </w:t>
      </w:r>
    </w:p>
    <w:p w14:paraId="09F4A857" w14:textId="77777777" w:rsidR="001B26C6" w:rsidRPr="00B831E7" w:rsidRDefault="001B26C6" w:rsidP="001B26C6">
      <w:pPr>
        <w:pStyle w:val="Normal-pool"/>
        <w:numPr>
          <w:ilvl w:val="6"/>
          <w:numId w:val="33"/>
        </w:numPr>
        <w:tabs>
          <w:tab w:val="clear" w:pos="1247"/>
          <w:tab w:val="clear" w:pos="1814"/>
          <w:tab w:val="clear" w:pos="2381"/>
          <w:tab w:val="clear" w:pos="2948"/>
          <w:tab w:val="clear" w:pos="3515"/>
          <w:tab w:val="clear" w:pos="4082"/>
        </w:tabs>
        <w:spacing w:after="120"/>
        <w:ind w:left="1247" w:firstLine="624"/>
        <w:rPr>
          <w:rFonts w:asciiTheme="majorBidi" w:hAnsiTheme="majorBidi" w:cstheme="majorBidi"/>
        </w:rPr>
      </w:pPr>
      <w:bookmarkStart w:id="5" w:name="_Hlk106797916"/>
      <w:r w:rsidRPr="00B831E7">
        <w:rPr>
          <w:rFonts w:asciiTheme="majorBidi" w:hAnsiTheme="majorBidi" w:cstheme="majorBidi"/>
          <w:i/>
          <w:iCs/>
        </w:rPr>
        <w:t>Requests</w:t>
      </w:r>
      <w:r w:rsidRPr="00B831E7">
        <w:rPr>
          <w:rFonts w:asciiTheme="majorBidi" w:hAnsiTheme="majorBidi" w:cstheme="majorBidi"/>
        </w:rPr>
        <w:t xml:space="preserve"> the Open-ended Working Group to consider the proposals by the European Union </w:t>
      </w:r>
      <w:r w:rsidRPr="00B831E7">
        <w:rPr>
          <w:rFonts w:asciiTheme="majorBidi" w:hAnsiTheme="majorBidi" w:cstheme="majorBidi"/>
          <w:bCs/>
        </w:rPr>
        <w:t>to amend Annex IV and certain entries in Annexes II and IX to the Basel Convention</w:t>
      </w:r>
      <w:r w:rsidRPr="00B831E7">
        <w:rPr>
          <w:rFonts w:asciiTheme="majorBidi" w:hAnsiTheme="majorBidi" w:cstheme="majorBidi"/>
          <w:bCs/>
          <w:vertAlign w:val="superscript"/>
        </w:rPr>
        <w:footnoteReference w:id="5"/>
      </w:r>
      <w:r w:rsidRPr="00B831E7">
        <w:rPr>
          <w:rFonts w:asciiTheme="majorBidi" w:hAnsiTheme="majorBidi" w:cstheme="majorBidi"/>
          <w:bCs/>
        </w:rPr>
        <w:t xml:space="preserve"> and the recommendations and findings of the expert working group,</w:t>
      </w:r>
      <w:r w:rsidRPr="00B831E7">
        <w:rPr>
          <w:rStyle w:val="FootnoteReference"/>
          <w:rFonts w:cstheme="majorBidi"/>
          <w:bCs/>
        </w:rPr>
        <w:footnoteReference w:id="6"/>
      </w:r>
      <w:r w:rsidRPr="00B831E7">
        <w:rPr>
          <w:rFonts w:asciiTheme="majorBidi" w:hAnsiTheme="majorBidi" w:cstheme="majorBidi"/>
          <w:bCs/>
        </w:rPr>
        <w:t xml:space="preserve"> taking into account the discussions at the fifteenth meeting of the Conference of the Parties, as well as the progress made in the review of Annexes I and III, and </w:t>
      </w:r>
      <w:r w:rsidRPr="00B831E7">
        <w:rPr>
          <w:rFonts w:asciiTheme="majorBidi" w:hAnsiTheme="majorBidi" w:cstheme="majorBidi"/>
        </w:rPr>
        <w:t>to</w:t>
      </w:r>
      <w:r w:rsidRPr="00B831E7">
        <w:rPr>
          <w:rFonts w:asciiTheme="majorBidi" w:hAnsiTheme="majorBidi" w:cstheme="majorBidi"/>
          <w:bCs/>
        </w:rPr>
        <w:t xml:space="preserve"> provide recommendations for consideration by the Conference of the Parties at its sixteenth meeting</w:t>
      </w:r>
      <w:r w:rsidRPr="00B831E7">
        <w:rPr>
          <w:rFonts w:asciiTheme="majorBidi" w:hAnsiTheme="majorBidi" w:cstheme="majorBidi"/>
        </w:rPr>
        <w:t xml:space="preserve">; </w:t>
      </w:r>
    </w:p>
    <w:p w14:paraId="09EAC203" w14:textId="77777777" w:rsidR="001B26C6" w:rsidRPr="00B831E7" w:rsidRDefault="001B26C6" w:rsidP="001B26C6">
      <w:pPr>
        <w:pStyle w:val="Normal-pool"/>
        <w:numPr>
          <w:ilvl w:val="6"/>
          <w:numId w:val="33"/>
        </w:numPr>
        <w:tabs>
          <w:tab w:val="clear" w:pos="1247"/>
          <w:tab w:val="clear" w:pos="1814"/>
          <w:tab w:val="clear" w:pos="2381"/>
          <w:tab w:val="clear" w:pos="2948"/>
          <w:tab w:val="clear" w:pos="3515"/>
          <w:tab w:val="clear" w:pos="4082"/>
        </w:tabs>
        <w:spacing w:after="120"/>
        <w:ind w:left="1247" w:firstLine="624"/>
        <w:rPr>
          <w:rFonts w:asciiTheme="majorBidi" w:hAnsiTheme="majorBidi" w:cstheme="majorBidi"/>
        </w:rPr>
      </w:pPr>
      <w:bookmarkStart w:id="6" w:name="_Hlk106797252"/>
      <w:bookmarkEnd w:id="5"/>
      <w:r w:rsidRPr="00B831E7">
        <w:rPr>
          <w:rFonts w:asciiTheme="majorBidi" w:hAnsiTheme="majorBidi" w:cstheme="majorBidi"/>
          <w:i/>
          <w:iCs/>
        </w:rPr>
        <w:t>Requests</w:t>
      </w:r>
      <w:r w:rsidRPr="00B831E7">
        <w:rPr>
          <w:rFonts w:asciiTheme="majorBidi" w:hAnsiTheme="majorBidi" w:cstheme="majorBidi"/>
        </w:rPr>
        <w:t xml:space="preserve"> the regional groups that have not yet nominated 10 experts with relevant expertise to serve as members of the expert working group to nominate the remaining experts by 31 July 2022 through their Bureau representatives, and requests the Secretariat to facilitate the nomination </w:t>
      </w:r>
      <w:proofErr w:type="gramStart"/>
      <w:r w:rsidRPr="00B831E7">
        <w:rPr>
          <w:rFonts w:asciiTheme="majorBidi" w:hAnsiTheme="majorBidi" w:cstheme="majorBidi"/>
        </w:rPr>
        <w:t>process;</w:t>
      </w:r>
      <w:proofErr w:type="gramEnd"/>
    </w:p>
    <w:bookmarkEnd w:id="6"/>
    <w:p w14:paraId="0E21AD9B" w14:textId="77777777" w:rsidR="001B26C6" w:rsidRPr="00B831E7" w:rsidRDefault="001B26C6" w:rsidP="001B26C6">
      <w:pPr>
        <w:pStyle w:val="Normal-pool"/>
        <w:numPr>
          <w:ilvl w:val="6"/>
          <w:numId w:val="33"/>
        </w:numPr>
        <w:tabs>
          <w:tab w:val="clear" w:pos="1247"/>
          <w:tab w:val="clear" w:pos="1814"/>
          <w:tab w:val="clear" w:pos="2381"/>
          <w:tab w:val="clear" w:pos="2948"/>
          <w:tab w:val="clear" w:pos="3515"/>
          <w:tab w:val="clear" w:pos="4082"/>
        </w:tabs>
        <w:spacing w:after="120"/>
        <w:ind w:left="1247" w:firstLine="624"/>
        <w:rPr>
          <w:rFonts w:asciiTheme="majorBidi" w:hAnsiTheme="majorBidi" w:cstheme="majorBidi"/>
        </w:rPr>
      </w:pPr>
      <w:r w:rsidRPr="00B831E7">
        <w:rPr>
          <w:rFonts w:asciiTheme="majorBidi" w:hAnsiTheme="majorBidi" w:cstheme="majorBidi"/>
          <w:i/>
          <w:iCs/>
        </w:rPr>
        <w:lastRenderedPageBreak/>
        <w:t>Requests</w:t>
      </w:r>
      <w:r w:rsidRPr="00B831E7">
        <w:rPr>
          <w:rFonts w:asciiTheme="majorBidi" w:hAnsiTheme="majorBidi" w:cstheme="majorBidi"/>
        </w:rPr>
        <w:t xml:space="preserve"> the Secretariat to report on the implementation of the present decision to the Open</w:t>
      </w:r>
      <w:r w:rsidRPr="00B831E7">
        <w:rPr>
          <w:rFonts w:asciiTheme="majorBidi" w:hAnsiTheme="majorBidi" w:cstheme="majorBidi"/>
        </w:rPr>
        <w:noBreakHyphen/>
        <w:t>ended Working Group at its thirteenth meeting and to the Conference of the Parties at its sixteenth meeting.</w:t>
      </w:r>
    </w:p>
    <w:p w14:paraId="1D7F4CB3" w14:textId="4B91514E" w:rsidR="00F935A6" w:rsidRPr="001B26C6" w:rsidRDefault="00F935A6" w:rsidP="001B26C6">
      <w:pPr>
        <w:spacing w:after="120"/>
        <w:rPr>
          <w:lang w:val="en-GB"/>
        </w:rPr>
      </w:pPr>
    </w:p>
    <w:sectPr w:rsidR="00F935A6" w:rsidRPr="001B26C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AC230E" w14:textId="77777777" w:rsidR="001F4555" w:rsidRDefault="001F4555" w:rsidP="004956AB">
      <w:r>
        <w:separator/>
      </w:r>
    </w:p>
  </w:endnote>
  <w:endnote w:type="continuationSeparator" w:id="0">
    <w:p w14:paraId="7C213F6C" w14:textId="77777777" w:rsidR="001F4555" w:rsidRDefault="001F4555" w:rsidP="004956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5C65E4" w14:textId="77777777" w:rsidR="001F4555" w:rsidRDefault="001F4555" w:rsidP="004956AB">
      <w:r>
        <w:separator/>
      </w:r>
    </w:p>
  </w:footnote>
  <w:footnote w:type="continuationSeparator" w:id="0">
    <w:p w14:paraId="69E7983D" w14:textId="77777777" w:rsidR="001F4555" w:rsidRDefault="001F4555" w:rsidP="004956AB">
      <w:r>
        <w:continuationSeparator/>
      </w:r>
    </w:p>
  </w:footnote>
  <w:footnote w:id="1">
    <w:p w14:paraId="56D1A4B2" w14:textId="77777777" w:rsidR="001B26C6" w:rsidRPr="000629DC" w:rsidRDefault="001B26C6" w:rsidP="001B26C6">
      <w:pPr>
        <w:pStyle w:val="Footnote-Text"/>
        <w:rPr>
          <w:szCs w:val="18"/>
        </w:rPr>
      </w:pPr>
      <w:r w:rsidRPr="000629DC">
        <w:rPr>
          <w:szCs w:val="18"/>
          <w:vertAlign w:val="superscript"/>
        </w:rPr>
        <w:footnoteRef/>
      </w:r>
      <w:r w:rsidRPr="000629DC">
        <w:rPr>
          <w:szCs w:val="18"/>
        </w:rPr>
        <w:t xml:space="preserve"> UNEP/CHW.15/13.</w:t>
      </w:r>
    </w:p>
  </w:footnote>
  <w:footnote w:id="2">
    <w:p w14:paraId="43A829B7" w14:textId="77777777" w:rsidR="001B26C6" w:rsidRPr="000629DC" w:rsidRDefault="001B26C6" w:rsidP="001B26C6">
      <w:pPr>
        <w:pStyle w:val="Footnote-Text"/>
        <w:rPr>
          <w:szCs w:val="18"/>
        </w:rPr>
      </w:pPr>
      <w:r w:rsidRPr="000629DC">
        <w:rPr>
          <w:szCs w:val="18"/>
          <w:vertAlign w:val="superscript"/>
        </w:rPr>
        <w:footnoteRef/>
      </w:r>
      <w:r w:rsidRPr="000629DC">
        <w:rPr>
          <w:szCs w:val="18"/>
        </w:rPr>
        <w:t xml:space="preserve"> UNEP/CHW.15/INF/18.</w:t>
      </w:r>
    </w:p>
  </w:footnote>
  <w:footnote w:id="3">
    <w:p w14:paraId="25551E49" w14:textId="77777777" w:rsidR="001B26C6" w:rsidRPr="000629DC" w:rsidRDefault="001B26C6" w:rsidP="001B26C6">
      <w:pPr>
        <w:pStyle w:val="Footnote-Text"/>
        <w:rPr>
          <w:szCs w:val="18"/>
        </w:rPr>
      </w:pPr>
      <w:r w:rsidRPr="000629DC">
        <w:rPr>
          <w:szCs w:val="18"/>
          <w:vertAlign w:val="superscript"/>
        </w:rPr>
        <w:footnoteRef/>
      </w:r>
      <w:r w:rsidRPr="000629DC">
        <w:rPr>
          <w:szCs w:val="18"/>
        </w:rPr>
        <w:t xml:space="preserve"> Set out in document UNEP/CHW.15/INF/20. </w:t>
      </w:r>
    </w:p>
  </w:footnote>
  <w:footnote w:id="4">
    <w:p w14:paraId="4D7790F7" w14:textId="77777777" w:rsidR="001B26C6" w:rsidRPr="000629DC" w:rsidRDefault="001B26C6" w:rsidP="001B26C6">
      <w:pPr>
        <w:pStyle w:val="Footnote-Text"/>
        <w:rPr>
          <w:szCs w:val="18"/>
        </w:rPr>
      </w:pPr>
      <w:r w:rsidRPr="000629DC">
        <w:rPr>
          <w:szCs w:val="18"/>
          <w:vertAlign w:val="superscript"/>
        </w:rPr>
        <w:footnoteRef/>
      </w:r>
      <w:r w:rsidRPr="000629DC">
        <w:rPr>
          <w:szCs w:val="18"/>
        </w:rPr>
        <w:t xml:space="preserve"> UNEP/CHW.15/INF/21.</w:t>
      </w:r>
    </w:p>
  </w:footnote>
  <w:footnote w:id="5">
    <w:p w14:paraId="7F012147" w14:textId="77777777" w:rsidR="001B26C6" w:rsidRPr="000629DC" w:rsidRDefault="001B26C6" w:rsidP="001B26C6">
      <w:pPr>
        <w:pStyle w:val="Footnote-Text"/>
        <w:rPr>
          <w:szCs w:val="18"/>
        </w:rPr>
      </w:pPr>
      <w:r w:rsidRPr="000629DC">
        <w:rPr>
          <w:szCs w:val="18"/>
          <w:vertAlign w:val="superscript"/>
        </w:rPr>
        <w:footnoteRef/>
      </w:r>
      <w:r w:rsidRPr="000629DC">
        <w:rPr>
          <w:szCs w:val="18"/>
        </w:rPr>
        <w:t xml:space="preserve"> UNEP/CHW.15/13/Add.1.</w:t>
      </w:r>
    </w:p>
  </w:footnote>
  <w:footnote w:id="6">
    <w:p w14:paraId="6966A0EB" w14:textId="77777777" w:rsidR="001B26C6" w:rsidRPr="000629DC" w:rsidRDefault="001B26C6" w:rsidP="001B26C6">
      <w:pPr>
        <w:pStyle w:val="Footnote-Text"/>
        <w:rPr>
          <w:szCs w:val="18"/>
        </w:rPr>
      </w:pPr>
      <w:r w:rsidRPr="000629DC">
        <w:rPr>
          <w:rStyle w:val="FootnoteReference"/>
        </w:rPr>
        <w:footnoteRef/>
      </w:r>
      <w:r w:rsidRPr="000629DC">
        <w:rPr>
          <w:szCs w:val="18"/>
        </w:rPr>
        <w:t xml:space="preserve"> UNEP/CHW.15/INF/18.</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C439AC"/>
    <w:multiLevelType w:val="hybridMultilevel"/>
    <w:tmpl w:val="9232033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7376AC5"/>
    <w:multiLevelType w:val="hybridMultilevel"/>
    <w:tmpl w:val="8B7A28D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FE1524D"/>
    <w:multiLevelType w:val="hybridMultilevel"/>
    <w:tmpl w:val="1D12BB0E"/>
    <w:lvl w:ilvl="0" w:tplc="0B82E394">
      <w:start w:val="1"/>
      <w:numFmt w:val="lowerLetter"/>
      <w:lvlText w:val="(%1)"/>
      <w:lvlJc w:val="left"/>
      <w:pPr>
        <w:ind w:left="2591" w:hanging="360"/>
      </w:pPr>
      <w:rPr>
        <w:rFonts w:hint="default"/>
      </w:rPr>
    </w:lvl>
    <w:lvl w:ilvl="1" w:tplc="08090019" w:tentative="1">
      <w:start w:val="1"/>
      <w:numFmt w:val="lowerLetter"/>
      <w:lvlText w:val="%2."/>
      <w:lvlJc w:val="left"/>
      <w:pPr>
        <w:ind w:left="3311" w:hanging="360"/>
      </w:pPr>
    </w:lvl>
    <w:lvl w:ilvl="2" w:tplc="0809001B" w:tentative="1">
      <w:start w:val="1"/>
      <w:numFmt w:val="lowerRoman"/>
      <w:lvlText w:val="%3."/>
      <w:lvlJc w:val="right"/>
      <w:pPr>
        <w:ind w:left="4031" w:hanging="180"/>
      </w:pPr>
    </w:lvl>
    <w:lvl w:ilvl="3" w:tplc="0809000F" w:tentative="1">
      <w:start w:val="1"/>
      <w:numFmt w:val="decimal"/>
      <w:lvlText w:val="%4."/>
      <w:lvlJc w:val="left"/>
      <w:pPr>
        <w:ind w:left="4751" w:hanging="360"/>
      </w:pPr>
    </w:lvl>
    <w:lvl w:ilvl="4" w:tplc="08090019" w:tentative="1">
      <w:start w:val="1"/>
      <w:numFmt w:val="lowerLetter"/>
      <w:lvlText w:val="%5."/>
      <w:lvlJc w:val="left"/>
      <w:pPr>
        <w:ind w:left="5471" w:hanging="360"/>
      </w:pPr>
    </w:lvl>
    <w:lvl w:ilvl="5" w:tplc="0809001B" w:tentative="1">
      <w:start w:val="1"/>
      <w:numFmt w:val="lowerRoman"/>
      <w:lvlText w:val="%6."/>
      <w:lvlJc w:val="right"/>
      <w:pPr>
        <w:ind w:left="6191" w:hanging="180"/>
      </w:pPr>
    </w:lvl>
    <w:lvl w:ilvl="6" w:tplc="0809000F" w:tentative="1">
      <w:start w:val="1"/>
      <w:numFmt w:val="decimal"/>
      <w:lvlText w:val="%7."/>
      <w:lvlJc w:val="left"/>
      <w:pPr>
        <w:ind w:left="6911" w:hanging="360"/>
      </w:pPr>
    </w:lvl>
    <w:lvl w:ilvl="7" w:tplc="08090019" w:tentative="1">
      <w:start w:val="1"/>
      <w:numFmt w:val="lowerLetter"/>
      <w:lvlText w:val="%8."/>
      <w:lvlJc w:val="left"/>
      <w:pPr>
        <w:ind w:left="7631" w:hanging="360"/>
      </w:pPr>
    </w:lvl>
    <w:lvl w:ilvl="8" w:tplc="0809001B" w:tentative="1">
      <w:start w:val="1"/>
      <w:numFmt w:val="lowerRoman"/>
      <w:lvlText w:val="%9."/>
      <w:lvlJc w:val="right"/>
      <w:pPr>
        <w:ind w:left="8351" w:hanging="180"/>
      </w:pPr>
    </w:lvl>
  </w:abstractNum>
  <w:abstractNum w:abstractNumId="3" w15:restartNumberingAfterBreak="0">
    <w:nsid w:val="14B758D2"/>
    <w:multiLevelType w:val="hybridMultilevel"/>
    <w:tmpl w:val="96E2F374"/>
    <w:lvl w:ilvl="0" w:tplc="0B82E394">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15465D89"/>
    <w:multiLevelType w:val="hybridMultilevel"/>
    <w:tmpl w:val="F6664B38"/>
    <w:lvl w:ilvl="0" w:tplc="0809000F">
      <w:start w:val="1"/>
      <w:numFmt w:val="decimal"/>
      <w:lvlText w:val="%1."/>
      <w:lvlJc w:val="left"/>
      <w:pPr>
        <w:ind w:left="2591" w:hanging="360"/>
      </w:pPr>
    </w:lvl>
    <w:lvl w:ilvl="1" w:tplc="08090019" w:tentative="1">
      <w:start w:val="1"/>
      <w:numFmt w:val="lowerLetter"/>
      <w:lvlText w:val="%2."/>
      <w:lvlJc w:val="left"/>
      <w:pPr>
        <w:ind w:left="3311" w:hanging="360"/>
      </w:pPr>
    </w:lvl>
    <w:lvl w:ilvl="2" w:tplc="0809001B" w:tentative="1">
      <w:start w:val="1"/>
      <w:numFmt w:val="lowerRoman"/>
      <w:lvlText w:val="%3."/>
      <w:lvlJc w:val="right"/>
      <w:pPr>
        <w:ind w:left="4031" w:hanging="180"/>
      </w:pPr>
    </w:lvl>
    <w:lvl w:ilvl="3" w:tplc="0809000F" w:tentative="1">
      <w:start w:val="1"/>
      <w:numFmt w:val="decimal"/>
      <w:lvlText w:val="%4."/>
      <w:lvlJc w:val="left"/>
      <w:pPr>
        <w:ind w:left="4751" w:hanging="360"/>
      </w:pPr>
    </w:lvl>
    <w:lvl w:ilvl="4" w:tplc="08090019" w:tentative="1">
      <w:start w:val="1"/>
      <w:numFmt w:val="lowerLetter"/>
      <w:lvlText w:val="%5."/>
      <w:lvlJc w:val="left"/>
      <w:pPr>
        <w:ind w:left="5471" w:hanging="360"/>
      </w:pPr>
    </w:lvl>
    <w:lvl w:ilvl="5" w:tplc="0809001B" w:tentative="1">
      <w:start w:val="1"/>
      <w:numFmt w:val="lowerRoman"/>
      <w:lvlText w:val="%6."/>
      <w:lvlJc w:val="right"/>
      <w:pPr>
        <w:ind w:left="6191" w:hanging="180"/>
      </w:pPr>
    </w:lvl>
    <w:lvl w:ilvl="6" w:tplc="103C385C">
      <w:start w:val="1"/>
      <w:numFmt w:val="decimal"/>
      <w:lvlText w:val="%7."/>
      <w:lvlJc w:val="left"/>
      <w:pPr>
        <w:ind w:left="6911" w:hanging="360"/>
      </w:pPr>
      <w:rPr>
        <w:i w:val="0"/>
        <w:iCs w:val="0"/>
      </w:rPr>
    </w:lvl>
    <w:lvl w:ilvl="7" w:tplc="08090019" w:tentative="1">
      <w:start w:val="1"/>
      <w:numFmt w:val="lowerLetter"/>
      <w:lvlText w:val="%8."/>
      <w:lvlJc w:val="left"/>
      <w:pPr>
        <w:ind w:left="7631" w:hanging="360"/>
      </w:pPr>
    </w:lvl>
    <w:lvl w:ilvl="8" w:tplc="0809001B" w:tentative="1">
      <w:start w:val="1"/>
      <w:numFmt w:val="lowerRoman"/>
      <w:lvlText w:val="%9."/>
      <w:lvlJc w:val="right"/>
      <w:pPr>
        <w:ind w:left="8351" w:hanging="180"/>
      </w:pPr>
    </w:lvl>
  </w:abstractNum>
  <w:abstractNum w:abstractNumId="5" w15:restartNumberingAfterBreak="0">
    <w:nsid w:val="1D4E70C1"/>
    <w:multiLevelType w:val="hybridMultilevel"/>
    <w:tmpl w:val="C088BDF8"/>
    <w:lvl w:ilvl="0" w:tplc="1EA4ECA8">
      <w:start w:val="1"/>
      <w:numFmt w:val="lowerRoman"/>
      <w:lvlText w:val="(%1)"/>
      <w:lvlJc w:val="left"/>
      <w:pPr>
        <w:ind w:left="3215" w:hanging="360"/>
      </w:pPr>
      <w:rPr>
        <w:rFonts w:hint="default"/>
      </w:rPr>
    </w:lvl>
    <w:lvl w:ilvl="1" w:tplc="08090019" w:tentative="1">
      <w:start w:val="1"/>
      <w:numFmt w:val="lowerLetter"/>
      <w:lvlText w:val="%2."/>
      <w:lvlJc w:val="left"/>
      <w:pPr>
        <w:ind w:left="3935" w:hanging="360"/>
      </w:pPr>
    </w:lvl>
    <w:lvl w:ilvl="2" w:tplc="0809001B" w:tentative="1">
      <w:start w:val="1"/>
      <w:numFmt w:val="lowerRoman"/>
      <w:lvlText w:val="%3."/>
      <w:lvlJc w:val="right"/>
      <w:pPr>
        <w:ind w:left="4655" w:hanging="180"/>
      </w:pPr>
    </w:lvl>
    <w:lvl w:ilvl="3" w:tplc="0809000F" w:tentative="1">
      <w:start w:val="1"/>
      <w:numFmt w:val="decimal"/>
      <w:lvlText w:val="%4."/>
      <w:lvlJc w:val="left"/>
      <w:pPr>
        <w:ind w:left="5375" w:hanging="360"/>
      </w:pPr>
    </w:lvl>
    <w:lvl w:ilvl="4" w:tplc="08090019" w:tentative="1">
      <w:start w:val="1"/>
      <w:numFmt w:val="lowerLetter"/>
      <w:lvlText w:val="%5."/>
      <w:lvlJc w:val="left"/>
      <w:pPr>
        <w:ind w:left="6095" w:hanging="360"/>
      </w:pPr>
    </w:lvl>
    <w:lvl w:ilvl="5" w:tplc="0809001B" w:tentative="1">
      <w:start w:val="1"/>
      <w:numFmt w:val="lowerRoman"/>
      <w:lvlText w:val="%6."/>
      <w:lvlJc w:val="right"/>
      <w:pPr>
        <w:ind w:left="6815" w:hanging="180"/>
      </w:pPr>
    </w:lvl>
    <w:lvl w:ilvl="6" w:tplc="0809000F" w:tentative="1">
      <w:start w:val="1"/>
      <w:numFmt w:val="decimal"/>
      <w:lvlText w:val="%7."/>
      <w:lvlJc w:val="left"/>
      <w:pPr>
        <w:ind w:left="7535" w:hanging="360"/>
      </w:pPr>
    </w:lvl>
    <w:lvl w:ilvl="7" w:tplc="08090019" w:tentative="1">
      <w:start w:val="1"/>
      <w:numFmt w:val="lowerLetter"/>
      <w:lvlText w:val="%8."/>
      <w:lvlJc w:val="left"/>
      <w:pPr>
        <w:ind w:left="8255" w:hanging="360"/>
      </w:pPr>
    </w:lvl>
    <w:lvl w:ilvl="8" w:tplc="0809001B" w:tentative="1">
      <w:start w:val="1"/>
      <w:numFmt w:val="lowerRoman"/>
      <w:lvlText w:val="%9."/>
      <w:lvlJc w:val="right"/>
      <w:pPr>
        <w:ind w:left="8975" w:hanging="180"/>
      </w:pPr>
    </w:lvl>
  </w:abstractNum>
  <w:abstractNum w:abstractNumId="6" w15:restartNumberingAfterBreak="0">
    <w:nsid w:val="1D6D191A"/>
    <w:multiLevelType w:val="hybridMultilevel"/>
    <w:tmpl w:val="B252704A"/>
    <w:lvl w:ilvl="0" w:tplc="2F426988">
      <w:start w:val="1"/>
      <w:numFmt w:val="lowerLetter"/>
      <w:lvlText w:val="(%1)"/>
      <w:lvlJc w:val="left"/>
      <w:pPr>
        <w:ind w:left="720" w:hanging="360"/>
      </w:pPr>
      <w:rPr>
        <w:rFonts w:hint="default"/>
        <w:i w:val="0"/>
        <w:i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17B2371"/>
    <w:multiLevelType w:val="hybridMultilevel"/>
    <w:tmpl w:val="CA12B68A"/>
    <w:lvl w:ilvl="0" w:tplc="FFFFFFFF">
      <w:start w:val="1"/>
      <w:numFmt w:val="lowerLetter"/>
      <w:lvlText w:val="(%1)"/>
      <w:lvlJc w:val="left"/>
      <w:pPr>
        <w:ind w:left="2591" w:hanging="360"/>
      </w:pPr>
      <w:rPr>
        <w:rFonts w:hint="default"/>
      </w:rPr>
    </w:lvl>
    <w:lvl w:ilvl="1" w:tplc="0B82E394">
      <w:start w:val="1"/>
      <w:numFmt w:val="lowerLetter"/>
      <w:lvlText w:val="(%2)"/>
      <w:lvlJc w:val="left"/>
      <w:pPr>
        <w:ind w:left="3311" w:hanging="360"/>
      </w:pPr>
      <w:rPr>
        <w:rFonts w:hint="default"/>
      </w:rPr>
    </w:lvl>
    <w:lvl w:ilvl="2" w:tplc="FFFFFFFF" w:tentative="1">
      <w:start w:val="1"/>
      <w:numFmt w:val="lowerRoman"/>
      <w:lvlText w:val="%3."/>
      <w:lvlJc w:val="right"/>
      <w:pPr>
        <w:ind w:left="4031" w:hanging="180"/>
      </w:pPr>
    </w:lvl>
    <w:lvl w:ilvl="3" w:tplc="FFFFFFFF" w:tentative="1">
      <w:start w:val="1"/>
      <w:numFmt w:val="decimal"/>
      <w:lvlText w:val="%4."/>
      <w:lvlJc w:val="left"/>
      <w:pPr>
        <w:ind w:left="4751" w:hanging="360"/>
      </w:pPr>
    </w:lvl>
    <w:lvl w:ilvl="4" w:tplc="FFFFFFFF" w:tentative="1">
      <w:start w:val="1"/>
      <w:numFmt w:val="lowerLetter"/>
      <w:lvlText w:val="%5."/>
      <w:lvlJc w:val="left"/>
      <w:pPr>
        <w:ind w:left="5471" w:hanging="360"/>
      </w:pPr>
    </w:lvl>
    <w:lvl w:ilvl="5" w:tplc="FFFFFFFF" w:tentative="1">
      <w:start w:val="1"/>
      <w:numFmt w:val="lowerRoman"/>
      <w:lvlText w:val="%6."/>
      <w:lvlJc w:val="right"/>
      <w:pPr>
        <w:ind w:left="6191" w:hanging="180"/>
      </w:pPr>
    </w:lvl>
    <w:lvl w:ilvl="6" w:tplc="FFFFFFFF" w:tentative="1">
      <w:start w:val="1"/>
      <w:numFmt w:val="decimal"/>
      <w:lvlText w:val="%7."/>
      <w:lvlJc w:val="left"/>
      <w:pPr>
        <w:ind w:left="6911" w:hanging="360"/>
      </w:pPr>
    </w:lvl>
    <w:lvl w:ilvl="7" w:tplc="FFFFFFFF" w:tentative="1">
      <w:start w:val="1"/>
      <w:numFmt w:val="lowerLetter"/>
      <w:lvlText w:val="%8."/>
      <w:lvlJc w:val="left"/>
      <w:pPr>
        <w:ind w:left="7631" w:hanging="360"/>
      </w:pPr>
    </w:lvl>
    <w:lvl w:ilvl="8" w:tplc="FFFFFFFF" w:tentative="1">
      <w:start w:val="1"/>
      <w:numFmt w:val="lowerRoman"/>
      <w:lvlText w:val="%9."/>
      <w:lvlJc w:val="right"/>
      <w:pPr>
        <w:ind w:left="8351" w:hanging="180"/>
      </w:pPr>
    </w:lvl>
  </w:abstractNum>
  <w:abstractNum w:abstractNumId="8" w15:restartNumberingAfterBreak="0">
    <w:nsid w:val="22BF3B93"/>
    <w:multiLevelType w:val="hybridMultilevel"/>
    <w:tmpl w:val="5FA48FC4"/>
    <w:lvl w:ilvl="0" w:tplc="FFFFFFFF">
      <w:start w:val="1"/>
      <w:numFmt w:val="decimal"/>
      <w:lvlText w:val="%1."/>
      <w:lvlJc w:val="left"/>
      <w:pPr>
        <w:ind w:left="3215" w:hanging="360"/>
      </w:pPr>
      <w:rPr>
        <w:i w:val="0"/>
        <w:iCs w:val="0"/>
      </w:rPr>
    </w:lvl>
    <w:lvl w:ilvl="1" w:tplc="0B82E394">
      <w:start w:val="1"/>
      <w:numFmt w:val="lowerLetter"/>
      <w:lvlText w:val="(%2)"/>
      <w:lvlJc w:val="left"/>
      <w:pPr>
        <w:ind w:left="3935" w:hanging="360"/>
      </w:pPr>
      <w:rPr>
        <w:rFonts w:hint="default"/>
      </w:rPr>
    </w:lvl>
    <w:lvl w:ilvl="2" w:tplc="FFFFFFFF" w:tentative="1">
      <w:start w:val="1"/>
      <w:numFmt w:val="lowerRoman"/>
      <w:lvlText w:val="%3."/>
      <w:lvlJc w:val="right"/>
      <w:pPr>
        <w:ind w:left="4655" w:hanging="180"/>
      </w:pPr>
    </w:lvl>
    <w:lvl w:ilvl="3" w:tplc="FFFFFFFF" w:tentative="1">
      <w:start w:val="1"/>
      <w:numFmt w:val="decimal"/>
      <w:lvlText w:val="%4."/>
      <w:lvlJc w:val="left"/>
      <w:pPr>
        <w:ind w:left="5375" w:hanging="360"/>
      </w:pPr>
    </w:lvl>
    <w:lvl w:ilvl="4" w:tplc="FFFFFFFF" w:tentative="1">
      <w:start w:val="1"/>
      <w:numFmt w:val="lowerLetter"/>
      <w:lvlText w:val="%5."/>
      <w:lvlJc w:val="left"/>
      <w:pPr>
        <w:ind w:left="6095" w:hanging="360"/>
      </w:pPr>
    </w:lvl>
    <w:lvl w:ilvl="5" w:tplc="FFFFFFFF" w:tentative="1">
      <w:start w:val="1"/>
      <w:numFmt w:val="lowerRoman"/>
      <w:lvlText w:val="%6."/>
      <w:lvlJc w:val="right"/>
      <w:pPr>
        <w:ind w:left="6815" w:hanging="180"/>
      </w:pPr>
    </w:lvl>
    <w:lvl w:ilvl="6" w:tplc="FFFFFFFF" w:tentative="1">
      <w:start w:val="1"/>
      <w:numFmt w:val="decimal"/>
      <w:lvlText w:val="%7."/>
      <w:lvlJc w:val="left"/>
      <w:pPr>
        <w:ind w:left="7535" w:hanging="360"/>
      </w:pPr>
    </w:lvl>
    <w:lvl w:ilvl="7" w:tplc="FFFFFFFF" w:tentative="1">
      <w:start w:val="1"/>
      <w:numFmt w:val="lowerLetter"/>
      <w:lvlText w:val="%8."/>
      <w:lvlJc w:val="left"/>
      <w:pPr>
        <w:ind w:left="8255" w:hanging="360"/>
      </w:pPr>
    </w:lvl>
    <w:lvl w:ilvl="8" w:tplc="FFFFFFFF" w:tentative="1">
      <w:start w:val="1"/>
      <w:numFmt w:val="lowerRoman"/>
      <w:lvlText w:val="%9."/>
      <w:lvlJc w:val="right"/>
      <w:pPr>
        <w:ind w:left="8975" w:hanging="180"/>
      </w:pPr>
    </w:lvl>
  </w:abstractNum>
  <w:abstractNum w:abstractNumId="9" w15:restartNumberingAfterBreak="0">
    <w:nsid w:val="23C62AE9"/>
    <w:multiLevelType w:val="hybridMultilevel"/>
    <w:tmpl w:val="741AAEAC"/>
    <w:lvl w:ilvl="0" w:tplc="F8B4A356">
      <w:start w:val="1"/>
      <w:numFmt w:val="decimal"/>
      <w:lvlText w:val="%1."/>
      <w:lvlJc w:val="left"/>
      <w:pPr>
        <w:ind w:left="3215" w:hanging="360"/>
      </w:pPr>
      <w:rPr>
        <w:i w:val="0"/>
        <w:iCs w:val="0"/>
      </w:rPr>
    </w:lvl>
    <w:lvl w:ilvl="1" w:tplc="B776CA36">
      <w:start w:val="1"/>
      <w:numFmt w:val="lowerLetter"/>
      <w:lvlText w:val="(%2)"/>
      <w:lvlJc w:val="left"/>
      <w:pPr>
        <w:ind w:left="3935" w:hanging="360"/>
      </w:pPr>
      <w:rPr>
        <w:rFonts w:hint="default"/>
      </w:rPr>
    </w:lvl>
    <w:lvl w:ilvl="2" w:tplc="0809001B" w:tentative="1">
      <w:start w:val="1"/>
      <w:numFmt w:val="lowerRoman"/>
      <w:lvlText w:val="%3."/>
      <w:lvlJc w:val="right"/>
      <w:pPr>
        <w:ind w:left="4655" w:hanging="180"/>
      </w:pPr>
    </w:lvl>
    <w:lvl w:ilvl="3" w:tplc="0809000F" w:tentative="1">
      <w:start w:val="1"/>
      <w:numFmt w:val="decimal"/>
      <w:lvlText w:val="%4."/>
      <w:lvlJc w:val="left"/>
      <w:pPr>
        <w:ind w:left="5375" w:hanging="360"/>
      </w:pPr>
    </w:lvl>
    <w:lvl w:ilvl="4" w:tplc="08090019" w:tentative="1">
      <w:start w:val="1"/>
      <w:numFmt w:val="lowerLetter"/>
      <w:lvlText w:val="%5."/>
      <w:lvlJc w:val="left"/>
      <w:pPr>
        <w:ind w:left="6095" w:hanging="360"/>
      </w:pPr>
    </w:lvl>
    <w:lvl w:ilvl="5" w:tplc="0809001B" w:tentative="1">
      <w:start w:val="1"/>
      <w:numFmt w:val="lowerRoman"/>
      <w:lvlText w:val="%6."/>
      <w:lvlJc w:val="right"/>
      <w:pPr>
        <w:ind w:left="6815" w:hanging="180"/>
      </w:pPr>
    </w:lvl>
    <w:lvl w:ilvl="6" w:tplc="0809000F" w:tentative="1">
      <w:start w:val="1"/>
      <w:numFmt w:val="decimal"/>
      <w:lvlText w:val="%7."/>
      <w:lvlJc w:val="left"/>
      <w:pPr>
        <w:ind w:left="7535" w:hanging="360"/>
      </w:pPr>
    </w:lvl>
    <w:lvl w:ilvl="7" w:tplc="08090019" w:tentative="1">
      <w:start w:val="1"/>
      <w:numFmt w:val="lowerLetter"/>
      <w:lvlText w:val="%8."/>
      <w:lvlJc w:val="left"/>
      <w:pPr>
        <w:ind w:left="8255" w:hanging="360"/>
      </w:pPr>
    </w:lvl>
    <w:lvl w:ilvl="8" w:tplc="0809001B" w:tentative="1">
      <w:start w:val="1"/>
      <w:numFmt w:val="lowerRoman"/>
      <w:lvlText w:val="%9."/>
      <w:lvlJc w:val="right"/>
      <w:pPr>
        <w:ind w:left="8975" w:hanging="180"/>
      </w:pPr>
    </w:lvl>
  </w:abstractNum>
  <w:abstractNum w:abstractNumId="10" w15:restartNumberingAfterBreak="0">
    <w:nsid w:val="28806E7D"/>
    <w:multiLevelType w:val="hybridMultilevel"/>
    <w:tmpl w:val="3ED8429A"/>
    <w:lvl w:ilvl="0" w:tplc="9EAA5EB0">
      <w:start w:val="1"/>
      <w:numFmt w:val="decimal"/>
      <w:lvlText w:val="%1."/>
      <w:lvlJc w:val="left"/>
      <w:pPr>
        <w:ind w:left="3215" w:hanging="360"/>
      </w:pPr>
      <w:rPr>
        <w:i w:val="0"/>
        <w:iCs w:val="0"/>
      </w:rPr>
    </w:lvl>
    <w:lvl w:ilvl="1" w:tplc="08090019" w:tentative="1">
      <w:start w:val="1"/>
      <w:numFmt w:val="lowerLetter"/>
      <w:lvlText w:val="%2."/>
      <w:lvlJc w:val="left"/>
      <w:pPr>
        <w:ind w:left="3935" w:hanging="360"/>
      </w:pPr>
    </w:lvl>
    <w:lvl w:ilvl="2" w:tplc="0809001B" w:tentative="1">
      <w:start w:val="1"/>
      <w:numFmt w:val="lowerRoman"/>
      <w:lvlText w:val="%3."/>
      <w:lvlJc w:val="right"/>
      <w:pPr>
        <w:ind w:left="4655" w:hanging="180"/>
      </w:pPr>
    </w:lvl>
    <w:lvl w:ilvl="3" w:tplc="0809000F" w:tentative="1">
      <w:start w:val="1"/>
      <w:numFmt w:val="decimal"/>
      <w:lvlText w:val="%4."/>
      <w:lvlJc w:val="left"/>
      <w:pPr>
        <w:ind w:left="5375" w:hanging="360"/>
      </w:pPr>
    </w:lvl>
    <w:lvl w:ilvl="4" w:tplc="08090019" w:tentative="1">
      <w:start w:val="1"/>
      <w:numFmt w:val="lowerLetter"/>
      <w:lvlText w:val="%5."/>
      <w:lvlJc w:val="left"/>
      <w:pPr>
        <w:ind w:left="6095" w:hanging="360"/>
      </w:pPr>
    </w:lvl>
    <w:lvl w:ilvl="5" w:tplc="0809001B" w:tentative="1">
      <w:start w:val="1"/>
      <w:numFmt w:val="lowerRoman"/>
      <w:lvlText w:val="%6."/>
      <w:lvlJc w:val="right"/>
      <w:pPr>
        <w:ind w:left="6815" w:hanging="180"/>
      </w:pPr>
    </w:lvl>
    <w:lvl w:ilvl="6" w:tplc="0809000F" w:tentative="1">
      <w:start w:val="1"/>
      <w:numFmt w:val="decimal"/>
      <w:lvlText w:val="%7."/>
      <w:lvlJc w:val="left"/>
      <w:pPr>
        <w:ind w:left="7535" w:hanging="360"/>
      </w:pPr>
    </w:lvl>
    <w:lvl w:ilvl="7" w:tplc="08090019" w:tentative="1">
      <w:start w:val="1"/>
      <w:numFmt w:val="lowerLetter"/>
      <w:lvlText w:val="%8."/>
      <w:lvlJc w:val="left"/>
      <w:pPr>
        <w:ind w:left="8255" w:hanging="360"/>
      </w:pPr>
    </w:lvl>
    <w:lvl w:ilvl="8" w:tplc="0809001B" w:tentative="1">
      <w:start w:val="1"/>
      <w:numFmt w:val="lowerRoman"/>
      <w:lvlText w:val="%9."/>
      <w:lvlJc w:val="right"/>
      <w:pPr>
        <w:ind w:left="8975" w:hanging="180"/>
      </w:pPr>
    </w:lvl>
  </w:abstractNum>
  <w:abstractNum w:abstractNumId="11" w15:restartNumberingAfterBreak="0">
    <w:nsid w:val="28CD04B2"/>
    <w:multiLevelType w:val="hybridMultilevel"/>
    <w:tmpl w:val="8EBC2FDC"/>
    <w:lvl w:ilvl="0" w:tplc="FFFFFFFF">
      <w:start w:val="1"/>
      <w:numFmt w:val="lowerLetter"/>
      <w:lvlText w:val="(%1)"/>
      <w:lvlJc w:val="left"/>
      <w:pPr>
        <w:ind w:left="2591" w:hanging="360"/>
      </w:pPr>
      <w:rPr>
        <w:rFonts w:hint="default"/>
      </w:rPr>
    </w:lvl>
    <w:lvl w:ilvl="1" w:tplc="0B82E394">
      <w:start w:val="1"/>
      <w:numFmt w:val="lowerLetter"/>
      <w:lvlText w:val="(%2)"/>
      <w:lvlJc w:val="left"/>
      <w:pPr>
        <w:ind w:left="3311" w:hanging="360"/>
      </w:pPr>
      <w:rPr>
        <w:rFonts w:hint="default"/>
      </w:rPr>
    </w:lvl>
    <w:lvl w:ilvl="2" w:tplc="FFFFFFFF" w:tentative="1">
      <w:start w:val="1"/>
      <w:numFmt w:val="lowerRoman"/>
      <w:lvlText w:val="%3."/>
      <w:lvlJc w:val="right"/>
      <w:pPr>
        <w:ind w:left="4031" w:hanging="180"/>
      </w:pPr>
    </w:lvl>
    <w:lvl w:ilvl="3" w:tplc="FFFFFFFF" w:tentative="1">
      <w:start w:val="1"/>
      <w:numFmt w:val="decimal"/>
      <w:lvlText w:val="%4."/>
      <w:lvlJc w:val="left"/>
      <w:pPr>
        <w:ind w:left="4751" w:hanging="360"/>
      </w:pPr>
    </w:lvl>
    <w:lvl w:ilvl="4" w:tplc="FFFFFFFF" w:tentative="1">
      <w:start w:val="1"/>
      <w:numFmt w:val="lowerLetter"/>
      <w:lvlText w:val="%5."/>
      <w:lvlJc w:val="left"/>
      <w:pPr>
        <w:ind w:left="5471" w:hanging="360"/>
      </w:pPr>
    </w:lvl>
    <w:lvl w:ilvl="5" w:tplc="FFFFFFFF" w:tentative="1">
      <w:start w:val="1"/>
      <w:numFmt w:val="lowerRoman"/>
      <w:lvlText w:val="%6."/>
      <w:lvlJc w:val="right"/>
      <w:pPr>
        <w:ind w:left="6191" w:hanging="180"/>
      </w:pPr>
    </w:lvl>
    <w:lvl w:ilvl="6" w:tplc="FFFFFFFF" w:tentative="1">
      <w:start w:val="1"/>
      <w:numFmt w:val="decimal"/>
      <w:lvlText w:val="%7."/>
      <w:lvlJc w:val="left"/>
      <w:pPr>
        <w:ind w:left="6911" w:hanging="360"/>
      </w:pPr>
    </w:lvl>
    <w:lvl w:ilvl="7" w:tplc="FFFFFFFF" w:tentative="1">
      <w:start w:val="1"/>
      <w:numFmt w:val="lowerLetter"/>
      <w:lvlText w:val="%8."/>
      <w:lvlJc w:val="left"/>
      <w:pPr>
        <w:ind w:left="7631" w:hanging="360"/>
      </w:pPr>
    </w:lvl>
    <w:lvl w:ilvl="8" w:tplc="FFFFFFFF" w:tentative="1">
      <w:start w:val="1"/>
      <w:numFmt w:val="lowerRoman"/>
      <w:lvlText w:val="%9."/>
      <w:lvlJc w:val="right"/>
      <w:pPr>
        <w:ind w:left="8351" w:hanging="180"/>
      </w:pPr>
    </w:lvl>
  </w:abstractNum>
  <w:abstractNum w:abstractNumId="12" w15:restartNumberingAfterBreak="0">
    <w:nsid w:val="2AD6048D"/>
    <w:multiLevelType w:val="hybridMultilevel"/>
    <w:tmpl w:val="39EEDF64"/>
    <w:lvl w:ilvl="0" w:tplc="8C229E08">
      <w:start w:val="1"/>
      <w:numFmt w:val="decimal"/>
      <w:lvlText w:val="%1."/>
      <w:lvlJc w:val="left"/>
      <w:pPr>
        <w:ind w:left="720" w:hanging="360"/>
      </w:pPr>
      <w:rPr>
        <w:i w:val="0"/>
        <w:i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7672EEF"/>
    <w:multiLevelType w:val="hybridMultilevel"/>
    <w:tmpl w:val="CBAC362C"/>
    <w:lvl w:ilvl="0" w:tplc="FFFFFFFF">
      <w:start w:val="1"/>
      <w:numFmt w:val="decimal"/>
      <w:lvlText w:val="%1."/>
      <w:lvlJc w:val="left"/>
      <w:pPr>
        <w:ind w:left="1967" w:hanging="360"/>
      </w:pPr>
      <w:rPr>
        <w:rFonts w:hint="default"/>
        <w:i w:val="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3ACB3B27"/>
    <w:multiLevelType w:val="hybridMultilevel"/>
    <w:tmpl w:val="25F47B44"/>
    <w:lvl w:ilvl="0" w:tplc="B776CA36">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D5C456B"/>
    <w:multiLevelType w:val="hybridMultilevel"/>
    <w:tmpl w:val="DC7C39DE"/>
    <w:lvl w:ilvl="0" w:tplc="DBF84888">
      <w:start w:val="1"/>
      <w:numFmt w:val="bullet"/>
      <w:lvlText w:val="-"/>
      <w:lvlJc w:val="left"/>
      <w:pPr>
        <w:ind w:left="720" w:hanging="360"/>
      </w:pPr>
      <w:rPr>
        <w:rFonts w:ascii="Courier New" w:hAnsi="Courier New"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3E3C42C8"/>
    <w:multiLevelType w:val="hybridMultilevel"/>
    <w:tmpl w:val="8298A94C"/>
    <w:lvl w:ilvl="0" w:tplc="78083696">
      <w:start w:val="1"/>
      <w:numFmt w:val="lowerLetter"/>
      <w:lvlText w:val="(%1)"/>
      <w:lvlJc w:val="left"/>
      <w:pPr>
        <w:ind w:left="3215" w:hanging="360"/>
      </w:pPr>
      <w:rPr>
        <w:rFonts w:hint="default"/>
      </w:rPr>
    </w:lvl>
    <w:lvl w:ilvl="1" w:tplc="08090019" w:tentative="1">
      <w:start w:val="1"/>
      <w:numFmt w:val="lowerLetter"/>
      <w:lvlText w:val="%2."/>
      <w:lvlJc w:val="left"/>
      <w:pPr>
        <w:ind w:left="3935" w:hanging="360"/>
      </w:pPr>
    </w:lvl>
    <w:lvl w:ilvl="2" w:tplc="0809001B" w:tentative="1">
      <w:start w:val="1"/>
      <w:numFmt w:val="lowerRoman"/>
      <w:lvlText w:val="%3."/>
      <w:lvlJc w:val="right"/>
      <w:pPr>
        <w:ind w:left="4655" w:hanging="180"/>
      </w:pPr>
    </w:lvl>
    <w:lvl w:ilvl="3" w:tplc="0809000F" w:tentative="1">
      <w:start w:val="1"/>
      <w:numFmt w:val="decimal"/>
      <w:lvlText w:val="%4."/>
      <w:lvlJc w:val="left"/>
      <w:pPr>
        <w:ind w:left="5375" w:hanging="360"/>
      </w:pPr>
    </w:lvl>
    <w:lvl w:ilvl="4" w:tplc="08090019" w:tentative="1">
      <w:start w:val="1"/>
      <w:numFmt w:val="lowerLetter"/>
      <w:lvlText w:val="%5."/>
      <w:lvlJc w:val="left"/>
      <w:pPr>
        <w:ind w:left="6095" w:hanging="360"/>
      </w:pPr>
    </w:lvl>
    <w:lvl w:ilvl="5" w:tplc="0809001B" w:tentative="1">
      <w:start w:val="1"/>
      <w:numFmt w:val="lowerRoman"/>
      <w:lvlText w:val="%6."/>
      <w:lvlJc w:val="right"/>
      <w:pPr>
        <w:ind w:left="6815" w:hanging="180"/>
      </w:pPr>
    </w:lvl>
    <w:lvl w:ilvl="6" w:tplc="0809000F" w:tentative="1">
      <w:start w:val="1"/>
      <w:numFmt w:val="decimal"/>
      <w:lvlText w:val="%7."/>
      <w:lvlJc w:val="left"/>
      <w:pPr>
        <w:ind w:left="7535" w:hanging="360"/>
      </w:pPr>
    </w:lvl>
    <w:lvl w:ilvl="7" w:tplc="08090019" w:tentative="1">
      <w:start w:val="1"/>
      <w:numFmt w:val="lowerLetter"/>
      <w:lvlText w:val="%8."/>
      <w:lvlJc w:val="left"/>
      <w:pPr>
        <w:ind w:left="8255" w:hanging="360"/>
      </w:pPr>
    </w:lvl>
    <w:lvl w:ilvl="8" w:tplc="0809001B" w:tentative="1">
      <w:start w:val="1"/>
      <w:numFmt w:val="lowerRoman"/>
      <w:lvlText w:val="%9."/>
      <w:lvlJc w:val="right"/>
      <w:pPr>
        <w:ind w:left="8975" w:hanging="180"/>
      </w:pPr>
    </w:lvl>
  </w:abstractNum>
  <w:abstractNum w:abstractNumId="17" w15:restartNumberingAfterBreak="0">
    <w:nsid w:val="3E753DBC"/>
    <w:multiLevelType w:val="hybridMultilevel"/>
    <w:tmpl w:val="07709C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0B640F8"/>
    <w:multiLevelType w:val="hybridMultilevel"/>
    <w:tmpl w:val="585EA654"/>
    <w:lvl w:ilvl="0" w:tplc="FFFFFFFF">
      <w:start w:val="1"/>
      <w:numFmt w:val="lowerLetter"/>
      <w:lvlText w:val="(%1)"/>
      <w:lvlJc w:val="left"/>
      <w:pPr>
        <w:ind w:left="2591" w:hanging="360"/>
      </w:pPr>
      <w:rPr>
        <w:rFonts w:hint="default"/>
      </w:rPr>
    </w:lvl>
    <w:lvl w:ilvl="1" w:tplc="0B82E394">
      <w:start w:val="1"/>
      <w:numFmt w:val="lowerLetter"/>
      <w:lvlText w:val="(%2)"/>
      <w:lvlJc w:val="left"/>
      <w:pPr>
        <w:ind w:left="3311" w:hanging="360"/>
      </w:pPr>
      <w:rPr>
        <w:rFonts w:hint="default"/>
      </w:rPr>
    </w:lvl>
    <w:lvl w:ilvl="2" w:tplc="FFFFFFFF" w:tentative="1">
      <w:start w:val="1"/>
      <w:numFmt w:val="lowerRoman"/>
      <w:lvlText w:val="%3."/>
      <w:lvlJc w:val="right"/>
      <w:pPr>
        <w:ind w:left="4031" w:hanging="180"/>
      </w:pPr>
    </w:lvl>
    <w:lvl w:ilvl="3" w:tplc="FFFFFFFF" w:tentative="1">
      <w:start w:val="1"/>
      <w:numFmt w:val="decimal"/>
      <w:lvlText w:val="%4."/>
      <w:lvlJc w:val="left"/>
      <w:pPr>
        <w:ind w:left="4751" w:hanging="360"/>
      </w:pPr>
    </w:lvl>
    <w:lvl w:ilvl="4" w:tplc="FFFFFFFF" w:tentative="1">
      <w:start w:val="1"/>
      <w:numFmt w:val="lowerLetter"/>
      <w:lvlText w:val="%5."/>
      <w:lvlJc w:val="left"/>
      <w:pPr>
        <w:ind w:left="5471" w:hanging="360"/>
      </w:pPr>
    </w:lvl>
    <w:lvl w:ilvl="5" w:tplc="FFFFFFFF" w:tentative="1">
      <w:start w:val="1"/>
      <w:numFmt w:val="lowerRoman"/>
      <w:lvlText w:val="%6."/>
      <w:lvlJc w:val="right"/>
      <w:pPr>
        <w:ind w:left="6191" w:hanging="180"/>
      </w:pPr>
    </w:lvl>
    <w:lvl w:ilvl="6" w:tplc="FFFFFFFF" w:tentative="1">
      <w:start w:val="1"/>
      <w:numFmt w:val="decimal"/>
      <w:lvlText w:val="%7."/>
      <w:lvlJc w:val="left"/>
      <w:pPr>
        <w:ind w:left="6911" w:hanging="360"/>
      </w:pPr>
    </w:lvl>
    <w:lvl w:ilvl="7" w:tplc="FFFFFFFF" w:tentative="1">
      <w:start w:val="1"/>
      <w:numFmt w:val="lowerLetter"/>
      <w:lvlText w:val="%8."/>
      <w:lvlJc w:val="left"/>
      <w:pPr>
        <w:ind w:left="7631" w:hanging="360"/>
      </w:pPr>
    </w:lvl>
    <w:lvl w:ilvl="8" w:tplc="FFFFFFFF" w:tentative="1">
      <w:start w:val="1"/>
      <w:numFmt w:val="lowerRoman"/>
      <w:lvlText w:val="%9."/>
      <w:lvlJc w:val="right"/>
      <w:pPr>
        <w:ind w:left="8351" w:hanging="180"/>
      </w:pPr>
    </w:lvl>
  </w:abstractNum>
  <w:abstractNum w:abstractNumId="19" w15:restartNumberingAfterBreak="0">
    <w:nsid w:val="4E182B7C"/>
    <w:multiLevelType w:val="hybridMultilevel"/>
    <w:tmpl w:val="EDBAABF4"/>
    <w:lvl w:ilvl="0" w:tplc="DBF84888">
      <w:start w:val="1"/>
      <w:numFmt w:val="bullet"/>
      <w:lvlText w:val="-"/>
      <w:lvlJc w:val="left"/>
      <w:pPr>
        <w:ind w:left="720" w:hanging="360"/>
      </w:pPr>
      <w:rPr>
        <w:rFonts w:ascii="Courier New" w:hAnsi="Courier New"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4F832B43"/>
    <w:multiLevelType w:val="hybridMultilevel"/>
    <w:tmpl w:val="B2B0ADA0"/>
    <w:lvl w:ilvl="0" w:tplc="0B82E394">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54FA404E"/>
    <w:multiLevelType w:val="hybridMultilevel"/>
    <w:tmpl w:val="6C66F0D0"/>
    <w:lvl w:ilvl="0" w:tplc="0B82E39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584D4F49"/>
    <w:multiLevelType w:val="hybridMultilevel"/>
    <w:tmpl w:val="433A984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CE75C50"/>
    <w:multiLevelType w:val="hybridMultilevel"/>
    <w:tmpl w:val="433A984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66B46048"/>
    <w:multiLevelType w:val="hybridMultilevel"/>
    <w:tmpl w:val="AE9C15A4"/>
    <w:lvl w:ilvl="0" w:tplc="80084320">
      <w:start w:val="1"/>
      <w:numFmt w:val="lowerLetter"/>
      <w:lvlText w:val="(%1)"/>
      <w:lvlJc w:val="left"/>
      <w:pPr>
        <w:ind w:left="774" w:hanging="360"/>
      </w:pPr>
      <w:rPr>
        <w:rFonts w:hint="default"/>
      </w:rPr>
    </w:lvl>
    <w:lvl w:ilvl="1" w:tplc="08090019" w:tentative="1">
      <w:start w:val="1"/>
      <w:numFmt w:val="lowerLetter"/>
      <w:lvlText w:val="%2."/>
      <w:lvlJc w:val="left"/>
      <w:pPr>
        <w:ind w:left="1494" w:hanging="360"/>
      </w:pPr>
    </w:lvl>
    <w:lvl w:ilvl="2" w:tplc="0809001B" w:tentative="1">
      <w:start w:val="1"/>
      <w:numFmt w:val="lowerRoman"/>
      <w:lvlText w:val="%3."/>
      <w:lvlJc w:val="right"/>
      <w:pPr>
        <w:ind w:left="2214" w:hanging="180"/>
      </w:pPr>
    </w:lvl>
    <w:lvl w:ilvl="3" w:tplc="0809000F" w:tentative="1">
      <w:start w:val="1"/>
      <w:numFmt w:val="decimal"/>
      <w:lvlText w:val="%4."/>
      <w:lvlJc w:val="left"/>
      <w:pPr>
        <w:ind w:left="2934" w:hanging="360"/>
      </w:pPr>
    </w:lvl>
    <w:lvl w:ilvl="4" w:tplc="08090019" w:tentative="1">
      <w:start w:val="1"/>
      <w:numFmt w:val="lowerLetter"/>
      <w:lvlText w:val="%5."/>
      <w:lvlJc w:val="left"/>
      <w:pPr>
        <w:ind w:left="3654" w:hanging="360"/>
      </w:pPr>
    </w:lvl>
    <w:lvl w:ilvl="5" w:tplc="0809001B" w:tentative="1">
      <w:start w:val="1"/>
      <w:numFmt w:val="lowerRoman"/>
      <w:lvlText w:val="%6."/>
      <w:lvlJc w:val="right"/>
      <w:pPr>
        <w:ind w:left="4374" w:hanging="180"/>
      </w:pPr>
    </w:lvl>
    <w:lvl w:ilvl="6" w:tplc="0809000F" w:tentative="1">
      <w:start w:val="1"/>
      <w:numFmt w:val="decimal"/>
      <w:lvlText w:val="%7."/>
      <w:lvlJc w:val="left"/>
      <w:pPr>
        <w:ind w:left="5094" w:hanging="360"/>
      </w:pPr>
    </w:lvl>
    <w:lvl w:ilvl="7" w:tplc="08090019" w:tentative="1">
      <w:start w:val="1"/>
      <w:numFmt w:val="lowerLetter"/>
      <w:lvlText w:val="%8."/>
      <w:lvlJc w:val="left"/>
      <w:pPr>
        <w:ind w:left="5814" w:hanging="360"/>
      </w:pPr>
    </w:lvl>
    <w:lvl w:ilvl="8" w:tplc="0809001B" w:tentative="1">
      <w:start w:val="1"/>
      <w:numFmt w:val="lowerRoman"/>
      <w:lvlText w:val="%9."/>
      <w:lvlJc w:val="right"/>
      <w:pPr>
        <w:ind w:left="6534" w:hanging="180"/>
      </w:pPr>
    </w:lvl>
  </w:abstractNum>
  <w:abstractNum w:abstractNumId="25" w15:restartNumberingAfterBreak="0">
    <w:nsid w:val="66C85822"/>
    <w:multiLevelType w:val="hybridMultilevel"/>
    <w:tmpl w:val="C160231E"/>
    <w:lvl w:ilvl="0" w:tplc="FFFFFFFF">
      <w:start w:val="1"/>
      <w:numFmt w:val="lowerLetter"/>
      <w:lvlText w:val="(%1)"/>
      <w:lvlJc w:val="left"/>
      <w:pPr>
        <w:ind w:left="2591" w:hanging="360"/>
      </w:pPr>
      <w:rPr>
        <w:rFonts w:hint="default"/>
      </w:rPr>
    </w:lvl>
    <w:lvl w:ilvl="1" w:tplc="0B82E394">
      <w:start w:val="1"/>
      <w:numFmt w:val="lowerLetter"/>
      <w:lvlText w:val="(%2)"/>
      <w:lvlJc w:val="left"/>
      <w:pPr>
        <w:ind w:left="3311" w:hanging="360"/>
      </w:pPr>
      <w:rPr>
        <w:rFonts w:hint="default"/>
      </w:rPr>
    </w:lvl>
    <w:lvl w:ilvl="2" w:tplc="FFFFFFFF" w:tentative="1">
      <w:start w:val="1"/>
      <w:numFmt w:val="lowerRoman"/>
      <w:lvlText w:val="%3."/>
      <w:lvlJc w:val="right"/>
      <w:pPr>
        <w:ind w:left="4031" w:hanging="180"/>
      </w:pPr>
    </w:lvl>
    <w:lvl w:ilvl="3" w:tplc="FFFFFFFF" w:tentative="1">
      <w:start w:val="1"/>
      <w:numFmt w:val="decimal"/>
      <w:lvlText w:val="%4."/>
      <w:lvlJc w:val="left"/>
      <w:pPr>
        <w:ind w:left="4751" w:hanging="360"/>
      </w:pPr>
    </w:lvl>
    <w:lvl w:ilvl="4" w:tplc="FFFFFFFF" w:tentative="1">
      <w:start w:val="1"/>
      <w:numFmt w:val="lowerLetter"/>
      <w:lvlText w:val="%5."/>
      <w:lvlJc w:val="left"/>
      <w:pPr>
        <w:ind w:left="5471" w:hanging="360"/>
      </w:pPr>
    </w:lvl>
    <w:lvl w:ilvl="5" w:tplc="FFFFFFFF" w:tentative="1">
      <w:start w:val="1"/>
      <w:numFmt w:val="lowerRoman"/>
      <w:lvlText w:val="%6."/>
      <w:lvlJc w:val="right"/>
      <w:pPr>
        <w:ind w:left="6191" w:hanging="180"/>
      </w:pPr>
    </w:lvl>
    <w:lvl w:ilvl="6" w:tplc="FFFFFFFF" w:tentative="1">
      <w:start w:val="1"/>
      <w:numFmt w:val="decimal"/>
      <w:lvlText w:val="%7."/>
      <w:lvlJc w:val="left"/>
      <w:pPr>
        <w:ind w:left="6911" w:hanging="360"/>
      </w:pPr>
    </w:lvl>
    <w:lvl w:ilvl="7" w:tplc="FFFFFFFF" w:tentative="1">
      <w:start w:val="1"/>
      <w:numFmt w:val="lowerLetter"/>
      <w:lvlText w:val="%8."/>
      <w:lvlJc w:val="left"/>
      <w:pPr>
        <w:ind w:left="7631" w:hanging="360"/>
      </w:pPr>
    </w:lvl>
    <w:lvl w:ilvl="8" w:tplc="FFFFFFFF" w:tentative="1">
      <w:start w:val="1"/>
      <w:numFmt w:val="lowerRoman"/>
      <w:lvlText w:val="%9."/>
      <w:lvlJc w:val="right"/>
      <w:pPr>
        <w:ind w:left="8351" w:hanging="180"/>
      </w:pPr>
    </w:lvl>
  </w:abstractNum>
  <w:abstractNum w:abstractNumId="26" w15:restartNumberingAfterBreak="0">
    <w:nsid w:val="69262562"/>
    <w:multiLevelType w:val="hybridMultilevel"/>
    <w:tmpl w:val="8EB640CA"/>
    <w:lvl w:ilvl="0" w:tplc="04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6A936364"/>
    <w:multiLevelType w:val="hybridMultilevel"/>
    <w:tmpl w:val="CBAC362C"/>
    <w:lvl w:ilvl="0" w:tplc="2000000F">
      <w:start w:val="1"/>
      <w:numFmt w:val="decimal"/>
      <w:lvlText w:val="%1."/>
      <w:lvlJc w:val="left"/>
      <w:pPr>
        <w:ind w:left="1967"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0257D47"/>
    <w:multiLevelType w:val="hybridMultilevel"/>
    <w:tmpl w:val="AB30D4F0"/>
    <w:lvl w:ilvl="0" w:tplc="FFFFFFFF">
      <w:start w:val="1"/>
      <w:numFmt w:val="lowerLetter"/>
      <w:lvlText w:val="(%1)"/>
      <w:lvlJc w:val="left"/>
      <w:pPr>
        <w:ind w:left="2591" w:hanging="360"/>
      </w:pPr>
      <w:rPr>
        <w:rFonts w:hint="default"/>
      </w:rPr>
    </w:lvl>
    <w:lvl w:ilvl="1" w:tplc="0B82E394">
      <w:start w:val="1"/>
      <w:numFmt w:val="lowerLetter"/>
      <w:lvlText w:val="(%2)"/>
      <w:lvlJc w:val="left"/>
      <w:pPr>
        <w:ind w:left="3311" w:hanging="360"/>
      </w:pPr>
      <w:rPr>
        <w:rFonts w:hint="default"/>
      </w:rPr>
    </w:lvl>
    <w:lvl w:ilvl="2" w:tplc="FFFFFFFF" w:tentative="1">
      <w:start w:val="1"/>
      <w:numFmt w:val="lowerRoman"/>
      <w:lvlText w:val="%3."/>
      <w:lvlJc w:val="right"/>
      <w:pPr>
        <w:ind w:left="4031" w:hanging="180"/>
      </w:pPr>
    </w:lvl>
    <w:lvl w:ilvl="3" w:tplc="FFFFFFFF" w:tentative="1">
      <w:start w:val="1"/>
      <w:numFmt w:val="decimal"/>
      <w:lvlText w:val="%4."/>
      <w:lvlJc w:val="left"/>
      <w:pPr>
        <w:ind w:left="4751" w:hanging="360"/>
      </w:pPr>
    </w:lvl>
    <w:lvl w:ilvl="4" w:tplc="FFFFFFFF" w:tentative="1">
      <w:start w:val="1"/>
      <w:numFmt w:val="lowerLetter"/>
      <w:lvlText w:val="%5."/>
      <w:lvlJc w:val="left"/>
      <w:pPr>
        <w:ind w:left="5471" w:hanging="360"/>
      </w:pPr>
    </w:lvl>
    <w:lvl w:ilvl="5" w:tplc="FFFFFFFF" w:tentative="1">
      <w:start w:val="1"/>
      <w:numFmt w:val="lowerRoman"/>
      <w:lvlText w:val="%6."/>
      <w:lvlJc w:val="right"/>
      <w:pPr>
        <w:ind w:left="6191" w:hanging="180"/>
      </w:pPr>
    </w:lvl>
    <w:lvl w:ilvl="6" w:tplc="FFFFFFFF" w:tentative="1">
      <w:start w:val="1"/>
      <w:numFmt w:val="decimal"/>
      <w:lvlText w:val="%7."/>
      <w:lvlJc w:val="left"/>
      <w:pPr>
        <w:ind w:left="6911" w:hanging="360"/>
      </w:pPr>
    </w:lvl>
    <w:lvl w:ilvl="7" w:tplc="FFFFFFFF" w:tentative="1">
      <w:start w:val="1"/>
      <w:numFmt w:val="lowerLetter"/>
      <w:lvlText w:val="%8."/>
      <w:lvlJc w:val="left"/>
      <w:pPr>
        <w:ind w:left="7631" w:hanging="360"/>
      </w:pPr>
    </w:lvl>
    <w:lvl w:ilvl="8" w:tplc="FFFFFFFF" w:tentative="1">
      <w:start w:val="1"/>
      <w:numFmt w:val="lowerRoman"/>
      <w:lvlText w:val="%9."/>
      <w:lvlJc w:val="right"/>
      <w:pPr>
        <w:ind w:left="8351" w:hanging="180"/>
      </w:pPr>
    </w:lvl>
  </w:abstractNum>
  <w:abstractNum w:abstractNumId="29" w15:restartNumberingAfterBreak="0">
    <w:nsid w:val="70C6286A"/>
    <w:multiLevelType w:val="hybridMultilevel"/>
    <w:tmpl w:val="9232033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73165281"/>
    <w:multiLevelType w:val="hybridMultilevel"/>
    <w:tmpl w:val="60506876"/>
    <w:lvl w:ilvl="0" w:tplc="026427D6">
      <w:start w:val="1"/>
      <w:numFmt w:val="decimal"/>
      <w:lvlText w:val="%1."/>
      <w:lvlJc w:val="left"/>
      <w:pPr>
        <w:ind w:left="720" w:hanging="360"/>
      </w:pPr>
      <w:rPr>
        <w:i w:val="0"/>
        <w:i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73654B96"/>
    <w:multiLevelType w:val="hybridMultilevel"/>
    <w:tmpl w:val="FAAE7B58"/>
    <w:lvl w:ilvl="0" w:tplc="FFFFFFFF">
      <w:start w:val="1"/>
      <w:numFmt w:val="lowerLetter"/>
      <w:lvlText w:val="(%1)"/>
      <w:lvlJc w:val="left"/>
      <w:pPr>
        <w:ind w:left="2591" w:hanging="360"/>
      </w:pPr>
      <w:rPr>
        <w:rFonts w:hint="default"/>
      </w:rPr>
    </w:lvl>
    <w:lvl w:ilvl="1" w:tplc="0B82E394">
      <w:start w:val="1"/>
      <w:numFmt w:val="lowerLetter"/>
      <w:lvlText w:val="(%2)"/>
      <w:lvlJc w:val="left"/>
      <w:pPr>
        <w:ind w:left="3311" w:hanging="360"/>
      </w:pPr>
      <w:rPr>
        <w:rFonts w:hint="default"/>
      </w:rPr>
    </w:lvl>
    <w:lvl w:ilvl="2" w:tplc="FFFFFFFF" w:tentative="1">
      <w:start w:val="1"/>
      <w:numFmt w:val="lowerRoman"/>
      <w:lvlText w:val="%3."/>
      <w:lvlJc w:val="right"/>
      <w:pPr>
        <w:ind w:left="4031" w:hanging="180"/>
      </w:pPr>
    </w:lvl>
    <w:lvl w:ilvl="3" w:tplc="FFFFFFFF" w:tentative="1">
      <w:start w:val="1"/>
      <w:numFmt w:val="decimal"/>
      <w:lvlText w:val="%4."/>
      <w:lvlJc w:val="left"/>
      <w:pPr>
        <w:ind w:left="4751" w:hanging="360"/>
      </w:pPr>
    </w:lvl>
    <w:lvl w:ilvl="4" w:tplc="FFFFFFFF" w:tentative="1">
      <w:start w:val="1"/>
      <w:numFmt w:val="lowerLetter"/>
      <w:lvlText w:val="%5."/>
      <w:lvlJc w:val="left"/>
      <w:pPr>
        <w:ind w:left="5471" w:hanging="360"/>
      </w:pPr>
    </w:lvl>
    <w:lvl w:ilvl="5" w:tplc="FFFFFFFF" w:tentative="1">
      <w:start w:val="1"/>
      <w:numFmt w:val="lowerRoman"/>
      <w:lvlText w:val="%6."/>
      <w:lvlJc w:val="right"/>
      <w:pPr>
        <w:ind w:left="6191" w:hanging="180"/>
      </w:pPr>
    </w:lvl>
    <w:lvl w:ilvl="6" w:tplc="FFFFFFFF" w:tentative="1">
      <w:start w:val="1"/>
      <w:numFmt w:val="decimal"/>
      <w:lvlText w:val="%7."/>
      <w:lvlJc w:val="left"/>
      <w:pPr>
        <w:ind w:left="6911" w:hanging="360"/>
      </w:pPr>
    </w:lvl>
    <w:lvl w:ilvl="7" w:tplc="FFFFFFFF" w:tentative="1">
      <w:start w:val="1"/>
      <w:numFmt w:val="lowerLetter"/>
      <w:lvlText w:val="%8."/>
      <w:lvlJc w:val="left"/>
      <w:pPr>
        <w:ind w:left="7631" w:hanging="360"/>
      </w:pPr>
    </w:lvl>
    <w:lvl w:ilvl="8" w:tplc="FFFFFFFF" w:tentative="1">
      <w:start w:val="1"/>
      <w:numFmt w:val="lowerRoman"/>
      <w:lvlText w:val="%9."/>
      <w:lvlJc w:val="right"/>
      <w:pPr>
        <w:ind w:left="8351" w:hanging="180"/>
      </w:pPr>
    </w:lvl>
  </w:abstractNum>
  <w:abstractNum w:abstractNumId="32" w15:restartNumberingAfterBreak="0">
    <w:nsid w:val="7C1F1799"/>
    <w:multiLevelType w:val="hybridMultilevel"/>
    <w:tmpl w:val="EEE092F6"/>
    <w:lvl w:ilvl="0" w:tplc="FFFFFFFF">
      <w:start w:val="1"/>
      <w:numFmt w:val="lowerLetter"/>
      <w:lvlText w:val="(%1)"/>
      <w:lvlJc w:val="left"/>
      <w:pPr>
        <w:ind w:left="2591" w:hanging="360"/>
      </w:pPr>
      <w:rPr>
        <w:rFonts w:hint="default"/>
      </w:rPr>
    </w:lvl>
    <w:lvl w:ilvl="1" w:tplc="0B82E394">
      <w:start w:val="1"/>
      <w:numFmt w:val="lowerLetter"/>
      <w:lvlText w:val="(%2)"/>
      <w:lvlJc w:val="left"/>
      <w:pPr>
        <w:ind w:left="3311" w:hanging="360"/>
      </w:pPr>
      <w:rPr>
        <w:rFonts w:hint="default"/>
      </w:rPr>
    </w:lvl>
    <w:lvl w:ilvl="2" w:tplc="FFFFFFFF" w:tentative="1">
      <w:start w:val="1"/>
      <w:numFmt w:val="lowerRoman"/>
      <w:lvlText w:val="%3."/>
      <w:lvlJc w:val="right"/>
      <w:pPr>
        <w:ind w:left="4031" w:hanging="180"/>
      </w:pPr>
    </w:lvl>
    <w:lvl w:ilvl="3" w:tplc="FFFFFFFF" w:tentative="1">
      <w:start w:val="1"/>
      <w:numFmt w:val="decimal"/>
      <w:lvlText w:val="%4."/>
      <w:lvlJc w:val="left"/>
      <w:pPr>
        <w:ind w:left="4751" w:hanging="360"/>
      </w:pPr>
    </w:lvl>
    <w:lvl w:ilvl="4" w:tplc="FFFFFFFF" w:tentative="1">
      <w:start w:val="1"/>
      <w:numFmt w:val="lowerLetter"/>
      <w:lvlText w:val="%5."/>
      <w:lvlJc w:val="left"/>
      <w:pPr>
        <w:ind w:left="5471" w:hanging="360"/>
      </w:pPr>
    </w:lvl>
    <w:lvl w:ilvl="5" w:tplc="FFFFFFFF" w:tentative="1">
      <w:start w:val="1"/>
      <w:numFmt w:val="lowerRoman"/>
      <w:lvlText w:val="%6."/>
      <w:lvlJc w:val="right"/>
      <w:pPr>
        <w:ind w:left="6191" w:hanging="180"/>
      </w:pPr>
    </w:lvl>
    <w:lvl w:ilvl="6" w:tplc="FFFFFFFF" w:tentative="1">
      <w:start w:val="1"/>
      <w:numFmt w:val="decimal"/>
      <w:lvlText w:val="%7."/>
      <w:lvlJc w:val="left"/>
      <w:pPr>
        <w:ind w:left="6911" w:hanging="360"/>
      </w:pPr>
    </w:lvl>
    <w:lvl w:ilvl="7" w:tplc="FFFFFFFF" w:tentative="1">
      <w:start w:val="1"/>
      <w:numFmt w:val="lowerLetter"/>
      <w:lvlText w:val="%8."/>
      <w:lvlJc w:val="left"/>
      <w:pPr>
        <w:ind w:left="7631" w:hanging="360"/>
      </w:pPr>
    </w:lvl>
    <w:lvl w:ilvl="8" w:tplc="FFFFFFFF" w:tentative="1">
      <w:start w:val="1"/>
      <w:numFmt w:val="lowerRoman"/>
      <w:lvlText w:val="%9."/>
      <w:lvlJc w:val="right"/>
      <w:pPr>
        <w:ind w:left="8351" w:hanging="180"/>
      </w:pPr>
    </w:lvl>
  </w:abstractNum>
  <w:abstractNum w:abstractNumId="33" w15:restartNumberingAfterBreak="0">
    <w:nsid w:val="7F2865FB"/>
    <w:multiLevelType w:val="hybridMultilevel"/>
    <w:tmpl w:val="3DA8BDE6"/>
    <w:lvl w:ilvl="0" w:tplc="0809000F">
      <w:start w:val="1"/>
      <w:numFmt w:val="decimal"/>
      <w:lvlText w:val="%1."/>
      <w:lvlJc w:val="left"/>
      <w:pPr>
        <w:ind w:left="3215" w:hanging="360"/>
      </w:pPr>
    </w:lvl>
    <w:lvl w:ilvl="1" w:tplc="B776CA36">
      <w:start w:val="1"/>
      <w:numFmt w:val="lowerLetter"/>
      <w:lvlText w:val="(%2)"/>
      <w:lvlJc w:val="left"/>
      <w:pPr>
        <w:ind w:left="3935" w:hanging="360"/>
      </w:pPr>
      <w:rPr>
        <w:rFonts w:hint="default"/>
      </w:rPr>
    </w:lvl>
    <w:lvl w:ilvl="2" w:tplc="0809001B" w:tentative="1">
      <w:start w:val="1"/>
      <w:numFmt w:val="lowerRoman"/>
      <w:lvlText w:val="%3."/>
      <w:lvlJc w:val="right"/>
      <w:pPr>
        <w:ind w:left="4655" w:hanging="180"/>
      </w:pPr>
    </w:lvl>
    <w:lvl w:ilvl="3" w:tplc="0809000F" w:tentative="1">
      <w:start w:val="1"/>
      <w:numFmt w:val="decimal"/>
      <w:lvlText w:val="%4."/>
      <w:lvlJc w:val="left"/>
      <w:pPr>
        <w:ind w:left="5375" w:hanging="360"/>
      </w:pPr>
    </w:lvl>
    <w:lvl w:ilvl="4" w:tplc="08090019" w:tentative="1">
      <w:start w:val="1"/>
      <w:numFmt w:val="lowerLetter"/>
      <w:lvlText w:val="%5."/>
      <w:lvlJc w:val="left"/>
      <w:pPr>
        <w:ind w:left="6095" w:hanging="360"/>
      </w:pPr>
    </w:lvl>
    <w:lvl w:ilvl="5" w:tplc="0809001B" w:tentative="1">
      <w:start w:val="1"/>
      <w:numFmt w:val="lowerRoman"/>
      <w:lvlText w:val="%6."/>
      <w:lvlJc w:val="right"/>
      <w:pPr>
        <w:ind w:left="6815" w:hanging="180"/>
      </w:pPr>
    </w:lvl>
    <w:lvl w:ilvl="6" w:tplc="0809000F" w:tentative="1">
      <w:start w:val="1"/>
      <w:numFmt w:val="decimal"/>
      <w:lvlText w:val="%7."/>
      <w:lvlJc w:val="left"/>
      <w:pPr>
        <w:ind w:left="7535" w:hanging="360"/>
      </w:pPr>
    </w:lvl>
    <w:lvl w:ilvl="7" w:tplc="08090019" w:tentative="1">
      <w:start w:val="1"/>
      <w:numFmt w:val="lowerLetter"/>
      <w:lvlText w:val="%8."/>
      <w:lvlJc w:val="left"/>
      <w:pPr>
        <w:ind w:left="8255" w:hanging="360"/>
      </w:pPr>
    </w:lvl>
    <w:lvl w:ilvl="8" w:tplc="0809001B" w:tentative="1">
      <w:start w:val="1"/>
      <w:numFmt w:val="lowerRoman"/>
      <w:lvlText w:val="%9."/>
      <w:lvlJc w:val="right"/>
      <w:pPr>
        <w:ind w:left="8975" w:hanging="180"/>
      </w:pPr>
    </w:lvl>
  </w:abstractNum>
  <w:num w:numId="1" w16cid:durableId="1549535577">
    <w:abstractNumId w:val="12"/>
  </w:num>
  <w:num w:numId="2" w16cid:durableId="1473252469">
    <w:abstractNumId w:val="3"/>
  </w:num>
  <w:num w:numId="3" w16cid:durableId="1856917451">
    <w:abstractNumId w:val="30"/>
  </w:num>
  <w:num w:numId="4" w16cid:durableId="1559896294">
    <w:abstractNumId w:val="21"/>
  </w:num>
  <w:num w:numId="5" w16cid:durableId="1636064875">
    <w:abstractNumId w:val="6"/>
  </w:num>
  <w:num w:numId="6" w16cid:durableId="1075932777">
    <w:abstractNumId w:val="27"/>
  </w:num>
  <w:num w:numId="7" w16cid:durableId="1541168782">
    <w:abstractNumId w:val="13"/>
  </w:num>
  <w:num w:numId="8" w16cid:durableId="761536350">
    <w:abstractNumId w:val="10"/>
  </w:num>
  <w:num w:numId="9" w16cid:durableId="252052453">
    <w:abstractNumId w:val="16"/>
  </w:num>
  <w:num w:numId="10" w16cid:durableId="1032876827">
    <w:abstractNumId w:val="14"/>
  </w:num>
  <w:num w:numId="11" w16cid:durableId="657073234">
    <w:abstractNumId w:val="9"/>
  </w:num>
  <w:num w:numId="12" w16cid:durableId="234046659">
    <w:abstractNumId w:val="33"/>
  </w:num>
  <w:num w:numId="13" w16cid:durableId="1095369434">
    <w:abstractNumId w:val="0"/>
  </w:num>
  <w:num w:numId="14" w16cid:durableId="1606308210">
    <w:abstractNumId w:val="29"/>
  </w:num>
  <w:num w:numId="15" w16cid:durableId="1040934813">
    <w:abstractNumId w:val="20"/>
  </w:num>
  <w:num w:numId="16" w16cid:durableId="1067650237">
    <w:abstractNumId w:val="22"/>
  </w:num>
  <w:num w:numId="17" w16cid:durableId="1703281793">
    <w:abstractNumId w:val="24"/>
  </w:num>
  <w:num w:numId="18" w16cid:durableId="2105296400">
    <w:abstractNumId w:val="28"/>
  </w:num>
  <w:num w:numId="19" w16cid:durableId="178739468">
    <w:abstractNumId w:val="18"/>
  </w:num>
  <w:num w:numId="20" w16cid:durableId="1607158641">
    <w:abstractNumId w:val="4"/>
  </w:num>
  <w:num w:numId="21" w16cid:durableId="2091193224">
    <w:abstractNumId w:val="7"/>
  </w:num>
  <w:num w:numId="22" w16cid:durableId="1881474576">
    <w:abstractNumId w:val="8"/>
  </w:num>
  <w:num w:numId="23" w16cid:durableId="1069233709">
    <w:abstractNumId w:val="25"/>
  </w:num>
  <w:num w:numId="24" w16cid:durableId="503667506">
    <w:abstractNumId w:val="11"/>
  </w:num>
  <w:num w:numId="25" w16cid:durableId="1165436476">
    <w:abstractNumId w:val="31"/>
  </w:num>
  <w:num w:numId="26" w16cid:durableId="26831406">
    <w:abstractNumId w:val="5"/>
  </w:num>
  <w:num w:numId="27" w16cid:durableId="1022054156">
    <w:abstractNumId w:val="32"/>
  </w:num>
  <w:num w:numId="28" w16cid:durableId="1259366368">
    <w:abstractNumId w:val="17"/>
  </w:num>
  <w:num w:numId="29" w16cid:durableId="1527478605">
    <w:abstractNumId w:val="15"/>
  </w:num>
  <w:num w:numId="30" w16cid:durableId="1580671700">
    <w:abstractNumId w:val="19"/>
  </w:num>
  <w:num w:numId="31" w16cid:durableId="1651398747">
    <w:abstractNumId w:val="26"/>
  </w:num>
  <w:num w:numId="32" w16cid:durableId="1556509237">
    <w:abstractNumId w:val="23"/>
  </w:num>
  <w:num w:numId="33" w16cid:durableId="1415278649">
    <w:abstractNumId w:val="1"/>
  </w:num>
  <w:num w:numId="34" w16cid:durableId="42225908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4420"/>
    <w:rsid w:val="001B26C6"/>
    <w:rsid w:val="001B3A5F"/>
    <w:rsid w:val="001F4555"/>
    <w:rsid w:val="002E5D8A"/>
    <w:rsid w:val="004956AB"/>
    <w:rsid w:val="00542DFC"/>
    <w:rsid w:val="005F7EEC"/>
    <w:rsid w:val="00680027"/>
    <w:rsid w:val="00836B73"/>
    <w:rsid w:val="00884140"/>
    <w:rsid w:val="00C24420"/>
    <w:rsid w:val="00C84536"/>
    <w:rsid w:val="00D67E22"/>
    <w:rsid w:val="00DF06CA"/>
    <w:rsid w:val="00E044F2"/>
    <w:rsid w:val="00F935A6"/>
    <w:rsid w:val="00FA6F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8553FE"/>
  <w15:chartTrackingRefBased/>
  <w15:docId w15:val="{29F0F80D-C39A-4C41-B138-C515ABFD54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C24420"/>
    <w:pPr>
      <w:spacing w:after="0" w:line="240" w:lineRule="auto"/>
    </w:pPr>
    <w:rPr>
      <w:rFonts w:ascii="Times New Roman" w:eastAsiaTheme="minorHAnsi" w:hAnsi="Times New Roman" w:cs="Times New Roman"/>
      <w:sz w:val="20"/>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1">
    <w:name w:val="CH1"/>
    <w:basedOn w:val="Normal-pool"/>
    <w:next w:val="Normal"/>
    <w:qFormat/>
    <w:rsid w:val="00C24420"/>
    <w:pPr>
      <w:keepNext/>
      <w:keepLines/>
      <w:tabs>
        <w:tab w:val="clear" w:pos="624"/>
        <w:tab w:val="right" w:pos="851"/>
      </w:tabs>
      <w:suppressAutoHyphens/>
      <w:spacing w:before="240" w:after="120"/>
      <w:ind w:left="1247" w:right="284" w:hanging="1247"/>
    </w:pPr>
    <w:rPr>
      <w:b/>
      <w:sz w:val="28"/>
      <w:szCs w:val="28"/>
    </w:rPr>
  </w:style>
  <w:style w:type="paragraph" w:customStyle="1" w:styleId="Normal-pool">
    <w:name w:val="Normal-pool"/>
    <w:link w:val="Normal-poolChar"/>
    <w:qFormat/>
    <w:rsid w:val="00C24420"/>
    <w:pPr>
      <w:tabs>
        <w:tab w:val="left" w:pos="624"/>
        <w:tab w:val="left" w:pos="1247"/>
        <w:tab w:val="left" w:pos="1814"/>
        <w:tab w:val="left" w:pos="2381"/>
        <w:tab w:val="left" w:pos="2948"/>
        <w:tab w:val="left" w:pos="3515"/>
        <w:tab w:val="left" w:pos="4082"/>
      </w:tabs>
      <w:spacing w:after="0" w:line="240" w:lineRule="auto"/>
    </w:pPr>
    <w:rPr>
      <w:rFonts w:ascii="Times New Roman" w:eastAsia="Times New Roman" w:hAnsi="Times New Roman" w:cs="Times New Roman"/>
      <w:sz w:val="20"/>
      <w:szCs w:val="20"/>
      <w:lang w:val="en-GB" w:eastAsia="en-US"/>
    </w:rPr>
  </w:style>
  <w:style w:type="character" w:customStyle="1" w:styleId="Normal-poolChar">
    <w:name w:val="Normal-pool Char"/>
    <w:link w:val="Normal-pool"/>
    <w:locked/>
    <w:rsid w:val="00C24420"/>
    <w:rPr>
      <w:rFonts w:ascii="Times New Roman" w:eastAsia="Times New Roman" w:hAnsi="Times New Roman" w:cs="Times New Roman"/>
      <w:sz w:val="20"/>
      <w:szCs w:val="20"/>
      <w:lang w:val="en-GB" w:eastAsia="en-US"/>
    </w:rPr>
  </w:style>
  <w:style w:type="paragraph" w:customStyle="1" w:styleId="Footnote-Text">
    <w:name w:val="Footnote-Text"/>
    <w:basedOn w:val="Normal-pool"/>
    <w:rsid w:val="004956AB"/>
    <w:pPr>
      <w:spacing w:before="20" w:after="40"/>
      <w:ind w:left="1247"/>
    </w:pPr>
    <w:rPr>
      <w:sz w:val="18"/>
    </w:rPr>
  </w:style>
  <w:style w:type="character" w:styleId="FootnoteReference">
    <w:name w:val="footnote reference"/>
    <w:aliases w:val="16 Point,Superscript 6 Point,ftref,(Ref. de nota al pie),number,SUPERS,Footnote Reference Superscript,Footnote Reference1,Ref,de nota al pie,註腳內容,de nota al pie + (Asian) MS Mincho,11 pt,Ref. de nota de rodapé1,fr,stylish"/>
    <w:link w:val="BVIfnrCharCharCharChar"/>
    <w:semiHidden/>
    <w:qFormat/>
    <w:rsid w:val="00884140"/>
    <w:rPr>
      <w:szCs w:val="18"/>
      <w:vertAlign w:val="superscript"/>
    </w:rPr>
  </w:style>
  <w:style w:type="paragraph" w:customStyle="1" w:styleId="BVIfnrCharCharCharChar">
    <w:name w:val="BVI fnr Char Char Char Char"/>
    <w:aliases w:val=" BVI fnr Car Car Char Char Char Char,BVI fnr Car Char Char Char Char, BVI fnr Car Car Car Car Char Char Char Char, BVI fnr Car Car Car Car Char Char Char1 Char Char,BVI fnr Car Car Char Char Char Char"/>
    <w:basedOn w:val="Normal"/>
    <w:link w:val="FootnoteReference"/>
    <w:semiHidden/>
    <w:rsid w:val="00884140"/>
    <w:pPr>
      <w:spacing w:before="120" w:after="160" w:line="240" w:lineRule="exact"/>
    </w:pPr>
    <w:rPr>
      <w:rFonts w:asciiTheme="minorHAnsi" w:eastAsiaTheme="minorEastAsia" w:hAnsiTheme="minorHAnsi" w:cstheme="minorBidi"/>
      <w:sz w:val="22"/>
      <w:szCs w:val="18"/>
      <w:vertAlign w:val="superscript"/>
      <w:lang w:eastAsia="zh-CN"/>
    </w:rPr>
  </w:style>
  <w:style w:type="paragraph" w:customStyle="1" w:styleId="NormalNonumber">
    <w:name w:val="Normal_No_number"/>
    <w:basedOn w:val="Normal-pool"/>
    <w:qFormat/>
    <w:rsid w:val="00DF06CA"/>
    <w:pPr>
      <w:ind w:left="1247"/>
    </w:pPr>
  </w:style>
  <w:style w:type="character" w:styleId="PageNumber">
    <w:name w:val="page number"/>
    <w:semiHidden/>
    <w:rsid w:val="002E5D8A"/>
    <w:rPr>
      <w:rFonts w:ascii="Times New Roman" w:hAnsi="Times New Roman"/>
      <w:b/>
      <w:sz w:val="18"/>
    </w:rPr>
  </w:style>
  <w:style w:type="character" w:styleId="Hyperlink">
    <w:name w:val="Hyperlink"/>
    <w:uiPriority w:val="99"/>
    <w:rsid w:val="002E5D8A"/>
    <w:rPr>
      <w:rFonts w:ascii="Times New Roman" w:hAnsi="Times New Roman"/>
      <w:color w:val="0000FF"/>
      <w:sz w:val="20"/>
      <w:szCs w:val="20"/>
      <w:u w:val="single"/>
      <w:lang w:val="en-US"/>
    </w:rPr>
  </w:style>
  <w:style w:type="paragraph" w:customStyle="1" w:styleId="CH2">
    <w:name w:val="CH2"/>
    <w:basedOn w:val="Normal-pool"/>
    <w:next w:val="Normal"/>
    <w:link w:val="CH2Char"/>
    <w:qFormat/>
    <w:rsid w:val="00D67E22"/>
    <w:pPr>
      <w:keepNext/>
      <w:keepLines/>
      <w:tabs>
        <w:tab w:val="clear" w:pos="624"/>
        <w:tab w:val="right" w:pos="851"/>
      </w:tabs>
      <w:suppressAutoHyphens/>
      <w:spacing w:before="240" w:after="120"/>
      <w:ind w:left="1247" w:right="284" w:hanging="1247"/>
    </w:pPr>
    <w:rPr>
      <w:b/>
      <w:sz w:val="24"/>
      <w:szCs w:val="24"/>
    </w:rPr>
  </w:style>
  <w:style w:type="paragraph" w:customStyle="1" w:styleId="CH4">
    <w:name w:val="CH4"/>
    <w:basedOn w:val="Normal-pool"/>
    <w:next w:val="Normal"/>
    <w:rsid w:val="00D67E22"/>
    <w:pPr>
      <w:keepNext/>
      <w:keepLines/>
      <w:tabs>
        <w:tab w:val="clear" w:pos="624"/>
        <w:tab w:val="right" w:pos="851"/>
      </w:tabs>
      <w:suppressAutoHyphens/>
      <w:spacing w:before="120" w:after="120"/>
      <w:ind w:left="1247" w:right="284" w:hanging="1247"/>
    </w:pPr>
    <w:rPr>
      <w:b/>
    </w:rPr>
  </w:style>
  <w:style w:type="character" w:customStyle="1" w:styleId="CH2Char">
    <w:name w:val="CH2 Char"/>
    <w:link w:val="CH2"/>
    <w:rsid w:val="00D67E22"/>
    <w:rPr>
      <w:rFonts w:ascii="Times New Roman" w:eastAsia="Times New Roman" w:hAnsi="Times New Roman" w:cs="Times New Roman"/>
      <w:b/>
      <w:sz w:val="24"/>
      <w:szCs w:val="24"/>
      <w:lang w:val="en-GB" w:eastAsia="en-US"/>
    </w:rPr>
  </w:style>
  <w:style w:type="character" w:customStyle="1" w:styleId="footnote">
    <w:name w:val="footnote"/>
    <w:aliases w:val="reference,16,Point,Superscript,61,reference1,68"/>
    <w:semiHidden/>
    <w:rsid w:val="00D67E22"/>
    <w:rPr>
      <w:rFonts w:ascii="Times New Roman" w:hAnsi="Times New Roman" w:cs="Times New Roman" w:hint="default"/>
      <w:color w:val="auto"/>
      <w:sz w:val="18"/>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437</Words>
  <Characters>2493</Characters>
  <Application>Microsoft Office Word</Application>
  <DocSecurity>0</DocSecurity>
  <Lines>20</Lines>
  <Paragraphs>5</Paragraphs>
  <ScaleCrop>false</ScaleCrop>
  <Company/>
  <LinksUpToDate>false</LinksUpToDate>
  <CharactersWithSpaces>2925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 Gong</dc:creator>
  <cp:keywords/>
  <dc:description/>
  <cp:lastModifiedBy>Le Gong</cp:lastModifiedBy>
  <cp:revision>2</cp:revision>
  <dcterms:created xsi:type="dcterms:W3CDTF">2023-04-24T13:06:00Z</dcterms:created>
  <dcterms:modified xsi:type="dcterms:W3CDTF">2023-04-24T13:06:00Z</dcterms:modified>
</cp:coreProperties>
</file>