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3BBDD" w14:textId="77777777" w:rsidR="005F064A" w:rsidRPr="00DE0F03" w:rsidRDefault="005F064A" w:rsidP="005F064A">
      <w:pPr>
        <w:pStyle w:val="Normalnumber"/>
        <w:tabs>
          <w:tab w:val="clear" w:pos="1247"/>
          <w:tab w:val="clear" w:pos="1814"/>
          <w:tab w:val="clear" w:pos="2381"/>
          <w:tab w:val="clear" w:pos="2948"/>
          <w:tab w:val="clear" w:pos="3515"/>
          <w:tab w:val="clear" w:pos="4082"/>
        </w:tabs>
        <w:bidi/>
        <w:spacing w:line="360" w:lineRule="exact"/>
        <w:ind w:left="1134"/>
        <w:jc w:val="both"/>
        <w:textDirection w:val="tbRlV"/>
        <w:rPr>
          <w:rFonts w:ascii="Simplified Arabic" w:hAnsi="Simplified Arabic" w:cs="Simplified Arabic"/>
          <w:b/>
          <w:bCs/>
          <w:sz w:val="26"/>
          <w:szCs w:val="26"/>
          <w:lang w:val="en-GB" w:eastAsia="zh-TW"/>
        </w:rPr>
      </w:pPr>
      <w:bookmarkStart w:id="0" w:name="_Hlk106798676"/>
      <w:r w:rsidRPr="00DE0F03">
        <w:rPr>
          <w:rFonts w:ascii="Simplified Arabic" w:hAnsi="Simplified Arabic" w:cs="Simplified Arabic"/>
          <w:b/>
          <w:bCs/>
          <w:sz w:val="26"/>
          <w:szCs w:val="26"/>
          <w:rtl/>
          <w:lang w:val="en-GB" w:eastAsia="zh-TW"/>
        </w:rPr>
        <w:t>ا ب-15/20</w:t>
      </w:r>
      <w:r w:rsidRPr="00DE0F03">
        <w:rPr>
          <w:rFonts w:ascii="Simplified Arabic" w:hAnsi="Simplified Arabic" w:cs="Simplified Arabic"/>
          <w:b/>
          <w:bCs/>
          <w:sz w:val="26"/>
          <w:szCs w:val="26"/>
          <w:lang w:val="en-GB" w:eastAsia="zh-TW"/>
        </w:rPr>
        <w:t>:</w:t>
      </w:r>
      <w:r w:rsidRPr="00DE0F03">
        <w:rPr>
          <w:rFonts w:ascii="Simplified Arabic" w:hAnsi="Simplified Arabic" w:cs="Simplified Arabic"/>
          <w:b/>
          <w:bCs/>
          <w:sz w:val="26"/>
          <w:szCs w:val="26"/>
          <w:rtl/>
          <w:lang w:val="en-GB" w:eastAsia="zh-TW"/>
        </w:rPr>
        <w:t xml:space="preserve"> التشريعات والإخطارات وإنفاذ الاتفاقية والجهود المبذولة لمكافحة الاتجار غير القانوني على الصعيد الوطني</w:t>
      </w:r>
      <w:bookmarkStart w:id="1" w:name="_Hlk106798661"/>
      <w:bookmarkEnd w:id="1"/>
    </w:p>
    <w:bookmarkEnd w:id="0"/>
    <w:p w14:paraId="24FAEC5F" w14:textId="77777777" w:rsidR="005F064A" w:rsidRPr="00DE0F03" w:rsidRDefault="005F064A" w:rsidP="005F064A">
      <w:pPr>
        <w:pStyle w:val="Normal-pool"/>
        <w:tabs>
          <w:tab w:val="clear" w:pos="1247"/>
          <w:tab w:val="clear" w:pos="1814"/>
          <w:tab w:val="clear" w:pos="2381"/>
          <w:tab w:val="clear" w:pos="2948"/>
          <w:tab w:val="clear" w:pos="3515"/>
        </w:tabs>
        <w:spacing w:after="120" w:line="360" w:lineRule="exact"/>
        <w:ind w:left="1134" w:firstLine="709"/>
        <w:jc w:val="both"/>
        <w:textDirection w:val="tbRlV"/>
        <w:rPr>
          <w:rFonts w:ascii="Simplified Arabic" w:hAnsi="Simplified Arabic" w:cs="Simplified Arabic"/>
          <w:i/>
          <w:iCs/>
          <w:sz w:val="24"/>
          <w:szCs w:val="24"/>
          <w:lang w:bidi="en-GB"/>
        </w:rPr>
      </w:pPr>
      <w:proofErr w:type="spellStart"/>
      <w:r w:rsidRPr="00DE0F03">
        <w:rPr>
          <w:rFonts w:ascii="Simplified Arabic" w:hAnsi="Simplified Arabic" w:cs="Simplified Arabic"/>
          <w:i/>
          <w:iCs/>
          <w:sz w:val="24"/>
          <w:szCs w:val="24"/>
        </w:rPr>
        <w:t>إن</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مؤتمر</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الأطراف</w:t>
      </w:r>
      <w:proofErr w:type="spellEnd"/>
      <w:r w:rsidRPr="00DE0F03">
        <w:rPr>
          <w:rFonts w:ascii="Simplified Arabic" w:hAnsi="Simplified Arabic" w:cs="Simplified Arabic"/>
          <w:i/>
          <w:iCs/>
          <w:sz w:val="24"/>
          <w:szCs w:val="24"/>
        </w:rPr>
        <w:t>،</w:t>
      </w:r>
    </w:p>
    <w:p w14:paraId="494ABF3E" w14:textId="77777777" w:rsidR="005F064A" w:rsidRPr="00DE0F03" w:rsidRDefault="005F064A" w:rsidP="005F064A">
      <w:pPr>
        <w:pStyle w:val="Normal-pool"/>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eastAsia="Times New Roman" w:hAnsi="Simplified Arabic" w:cs="Simplified Arabic"/>
          <w:sz w:val="24"/>
          <w:szCs w:val="24"/>
          <w:lang w:val="ar-SA" w:eastAsia="zh-TW" w:bidi="en-GB"/>
        </w:rPr>
      </w:pPr>
      <w:proofErr w:type="spellStart"/>
      <w:r w:rsidRPr="00DE0F03">
        <w:rPr>
          <w:rFonts w:ascii="Simplified Arabic" w:hAnsi="Simplified Arabic" w:cs="Simplified Arabic"/>
          <w:i/>
          <w:iCs/>
          <w:sz w:val="24"/>
          <w:szCs w:val="24"/>
        </w:rPr>
        <w:t>إذ</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يشير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مقرره</w:t>
      </w:r>
      <w:proofErr w:type="spellEnd"/>
      <w:r w:rsidRPr="00DE0F03">
        <w:rPr>
          <w:rFonts w:ascii="Simplified Arabic" w:hAnsi="Simplified Arabic" w:cs="Simplified Arabic"/>
          <w:sz w:val="24"/>
          <w:szCs w:val="24"/>
        </w:rPr>
        <w:t xml:space="preserve"> ا ب-15/27 </w:t>
      </w:r>
      <w:proofErr w:type="spellStart"/>
      <w:r w:rsidRPr="00DE0F03">
        <w:rPr>
          <w:rFonts w:ascii="Simplified Arabic" w:hAnsi="Simplified Arabic" w:cs="Simplified Arabic"/>
          <w:sz w:val="24"/>
          <w:szCs w:val="24"/>
        </w:rPr>
        <w:t>بشأن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تحقيق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التآزر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مكافحة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الاتجار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والتجارة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غير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القانونيين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المواد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الكيميائية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الخطرة</w:t>
      </w:r>
      <w:proofErr w:type="spellEnd"/>
      <w:r w:rsidRPr="00DE0F03">
        <w:rPr>
          <w:rFonts w:ascii="Simplified Arabic" w:hAnsi="Simplified Arabic" w:cs="Simplified Arabic"/>
          <w:sz w:val="24"/>
          <w:szCs w:val="24"/>
        </w:rPr>
        <w:t>،</w:t>
      </w:r>
    </w:p>
    <w:p w14:paraId="53979958" w14:textId="77777777" w:rsidR="005F064A" w:rsidRPr="00DE0F03" w:rsidRDefault="005F064A" w:rsidP="005F064A">
      <w:pPr>
        <w:pStyle w:val="ListParagraph"/>
        <w:numPr>
          <w:ilvl w:val="6"/>
          <w:numId w:val="7"/>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يشجع</w:t>
      </w:r>
      <w:r w:rsidRPr="00DE0F03">
        <w:rPr>
          <w:rFonts w:ascii="Simplified Arabic" w:eastAsia="Times New Roman" w:hAnsi="Simplified Arabic" w:cs="Simplified Arabic" w:hint="cs"/>
          <w:sz w:val="24"/>
          <w:szCs w:val="24"/>
          <w:rtl/>
          <w:lang w:val="en-GB"/>
        </w:rPr>
        <w:t xml:space="preserve"> الأمانة على مواصلة تطوير أنشطتها في مجالي التنفيذ والإنفاذ من أجل دعم الأطراف؛ </w:t>
      </w:r>
    </w:p>
    <w:p w14:paraId="79E2AD6A" w14:textId="77777777" w:rsidR="005F064A" w:rsidRPr="00DE0F03" w:rsidRDefault="005F064A" w:rsidP="005F064A">
      <w:pPr>
        <w:pStyle w:val="ListParagraph"/>
        <w:numPr>
          <w:ilvl w:val="6"/>
          <w:numId w:val="7"/>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يدعو</w:t>
      </w:r>
      <w:r w:rsidRPr="00DE0F03">
        <w:rPr>
          <w:rFonts w:ascii="Simplified Arabic" w:eastAsia="Times New Roman" w:hAnsi="Simplified Arabic" w:cs="Simplified Arabic" w:hint="cs"/>
          <w:sz w:val="24"/>
          <w:szCs w:val="24"/>
          <w:rtl/>
          <w:lang w:val="en-GB"/>
        </w:rPr>
        <w:t xml:space="preserve"> منظمات وشبكات الإنفاذ إلى مواصلة المشاركة بنشاط في منع ومكافحة الاتجار غير القانوني في النفايات الخطرة وغيرها من النفايات، ومواصلة تعاونها مع الأمانة بشأن الأنشطة الرامية إلى مساعدة الأطراف على منع الاتجار غير القانوني ومكافحته؛ </w:t>
      </w:r>
    </w:p>
    <w:p w14:paraId="0823C3A8" w14:textId="77777777" w:rsidR="005F064A" w:rsidRPr="00DE0F03" w:rsidRDefault="005F064A" w:rsidP="005F064A">
      <w:pPr>
        <w:pStyle w:val="ListParagraph"/>
        <w:numPr>
          <w:ilvl w:val="6"/>
          <w:numId w:val="7"/>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bookmarkStart w:id="2" w:name="_Hlk106798758"/>
      <w:r w:rsidRPr="00DE0F03">
        <w:rPr>
          <w:rFonts w:ascii="Simplified Arabic" w:eastAsia="Times New Roman" w:hAnsi="Simplified Arabic" w:cs="Simplified Arabic" w:hint="cs"/>
          <w:i/>
          <w:iCs/>
          <w:sz w:val="24"/>
          <w:szCs w:val="24"/>
          <w:rtl/>
          <w:lang w:val="en-GB"/>
        </w:rPr>
        <w:t>يذكر</w:t>
      </w:r>
      <w:r w:rsidRPr="00DE0F03">
        <w:rPr>
          <w:rFonts w:ascii="Simplified Arabic" w:eastAsia="Times New Roman" w:hAnsi="Simplified Arabic" w:cs="Simplified Arabic" w:hint="cs"/>
          <w:sz w:val="24"/>
          <w:szCs w:val="24"/>
          <w:rtl/>
          <w:lang w:val="en-GB"/>
        </w:rPr>
        <w:t xml:space="preserve"> الأطراف بضرورة الوفاء بالتزاماتها بموجب الفقرة 4 من المادة 4 والفقرة 5 من المادة 9 من الاتفاقية، بما في ذلك تحديث التشريعات أو وضع تشريعات صارمة بشأن مراقبة نقل النفايات الخطرة عبر الحدود، وإدراج جزاءات أو عقوبات مناسبة في تشريعاتها الوطنية فيما يتعلق بالاتجار غير القانوني في النفايات الخطرة وغيرها من النفايات؛ </w:t>
      </w:r>
    </w:p>
    <w:p w14:paraId="5F15B927" w14:textId="77777777" w:rsidR="005F064A" w:rsidRPr="00DE0F03" w:rsidRDefault="005F064A" w:rsidP="005F064A">
      <w:pPr>
        <w:pStyle w:val="ListParagraph"/>
        <w:numPr>
          <w:ilvl w:val="6"/>
          <w:numId w:val="7"/>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يدعو</w:t>
      </w:r>
      <w:r w:rsidRPr="00DE0F03">
        <w:rPr>
          <w:rFonts w:ascii="Simplified Arabic" w:eastAsia="Times New Roman" w:hAnsi="Simplified Arabic" w:cs="Simplified Arabic" w:hint="cs"/>
          <w:sz w:val="24"/>
          <w:szCs w:val="24"/>
          <w:rtl/>
          <w:lang w:val="en-GB"/>
        </w:rPr>
        <w:t xml:space="preserve"> الأطراف إلى مواصلة تبادل المعلومات، من خلال الأمانة، عن أفضل الممارسات في منع الاتجار غير القانوني ومكافحته، وإبلاغ الأمانة عن حالات الاتجار غير القانوني باستخدام الاستمارة النموذجية لحالات الاتجار غير القانوني المؤكدة أو الجدول 9 من نموذج الإبلاغ الوطني؛ </w:t>
      </w:r>
    </w:p>
    <w:p w14:paraId="5F6D050D" w14:textId="77777777" w:rsidR="005F064A" w:rsidRPr="00DE0F03" w:rsidRDefault="005F064A" w:rsidP="005F064A">
      <w:pPr>
        <w:pStyle w:val="ListParagraph"/>
        <w:numPr>
          <w:ilvl w:val="6"/>
          <w:numId w:val="7"/>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يدعو أيضاً</w:t>
      </w:r>
      <w:r w:rsidRPr="00DE0F03">
        <w:rPr>
          <w:rFonts w:ascii="Simplified Arabic" w:eastAsia="Times New Roman" w:hAnsi="Simplified Arabic" w:cs="Simplified Arabic" w:hint="cs"/>
          <w:sz w:val="24"/>
          <w:szCs w:val="24"/>
          <w:rtl/>
          <w:lang w:val="en-GB"/>
        </w:rPr>
        <w:t xml:space="preserve"> الأطراف التي لم تزود الأمانة بعد بمعلومات عن التعاريف الوطنية للنفايات الخطرة على النحو المطلوب بموجب المادة 3 والفقرة 2 (ب) من المادة 13 من الاتفاقية، أو أي معلومات عن القيود أو حالات الحظر على الاستيراد والتصدير على النحو المطلوب بموجب الفقرتين 1 (أ) و(ب) من المادة 4 من الاتفاقية والفقرتين 2 (ج) و(د) من المادة 13 من الاتفاقية، إلى القيام بذلك في أقرب وقت ممكن وأن تبلغ، من خلال المنسقين المعينين، عن أي تغيير هام لاحق في تلك المعلومات باستخدام نموذج الإبلاغ الموحد أو نموذج الإبلاغ الوطني؛ </w:t>
      </w:r>
    </w:p>
    <w:bookmarkEnd w:id="2"/>
    <w:p w14:paraId="7467B589" w14:textId="77777777" w:rsidR="005F064A" w:rsidRPr="00DE0F03" w:rsidRDefault="005F064A" w:rsidP="005F064A">
      <w:pPr>
        <w:pStyle w:val="ListParagraph"/>
        <w:numPr>
          <w:ilvl w:val="6"/>
          <w:numId w:val="7"/>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hint="cs"/>
          <w:i/>
          <w:iCs/>
          <w:sz w:val="24"/>
          <w:szCs w:val="24"/>
          <w:rtl/>
          <w:lang w:val="en-GB"/>
        </w:rPr>
        <w:t>يطلب</w:t>
      </w:r>
      <w:r w:rsidRPr="00DE0F03">
        <w:rPr>
          <w:rFonts w:ascii="Simplified Arabic" w:eastAsia="Times New Roman" w:hAnsi="Simplified Arabic" w:cs="Simplified Arabic" w:hint="cs"/>
          <w:sz w:val="24"/>
          <w:szCs w:val="24"/>
          <w:rtl/>
          <w:lang w:val="en-GB"/>
        </w:rPr>
        <w:t xml:space="preserve"> إلى الأمانة:</w:t>
      </w:r>
    </w:p>
    <w:p w14:paraId="49AC459A" w14:textId="77777777" w:rsidR="005F064A" w:rsidRPr="00DE0F03" w:rsidRDefault="005F064A" w:rsidP="005F064A">
      <w:pPr>
        <w:pStyle w:val="ListParagraph"/>
        <w:numPr>
          <w:ilvl w:val="0"/>
          <w:numId w:val="8"/>
        </w:numPr>
        <w:tabs>
          <w:tab w:val="left" w:pos="2552"/>
        </w:tabs>
        <w:autoSpaceDE w:val="0"/>
        <w:autoSpaceDN w:val="0"/>
        <w:bidi/>
        <w:adjustRightInd w:val="0"/>
        <w:spacing w:after="120" w:line="360" w:lineRule="exact"/>
        <w:ind w:left="1134" w:firstLine="709"/>
        <w:contextualSpacing w:val="0"/>
        <w:jc w:val="both"/>
        <w:textDirection w:val="tbRlV"/>
        <w:rPr>
          <w:rFonts w:ascii="Simplified Arabic" w:hAnsi="Simplified Arabic" w:cs="Simplified Arabic"/>
          <w:szCs w:val="24"/>
          <w:rtl/>
        </w:rPr>
      </w:pPr>
      <w:r w:rsidRPr="00DE0F03">
        <w:rPr>
          <w:rFonts w:ascii="Simplified Arabic" w:hAnsi="Simplified Arabic" w:cs="Simplified Arabic" w:hint="cs"/>
          <w:szCs w:val="24"/>
          <w:rtl/>
        </w:rPr>
        <w:t>مواصلة تعهد مجموعة من أفضل الممارسات لمنع الاتجار غير القانوني والمعاقبة عليه، والاحتفاظ بنماذج للإبلاغ عن الحالات المؤكدة من الاتجار غير القانوني، ومعلومات عن التعاريف الوطنية للنفايات الخطرة، ومعلومات عن القيود أو حالات الحظر على الاستيراد أو التصدير، ومواصلة إتاحة الاطلاع على تلك المعلومات على الموقع الشبكي للاتفاقية؛</w:t>
      </w:r>
    </w:p>
    <w:p w14:paraId="70F6F019" w14:textId="77777777" w:rsidR="005F064A" w:rsidRPr="00DE0F03" w:rsidRDefault="005F064A" w:rsidP="005F064A">
      <w:pPr>
        <w:pStyle w:val="ListParagraph"/>
        <w:numPr>
          <w:ilvl w:val="0"/>
          <w:numId w:val="8"/>
        </w:numPr>
        <w:tabs>
          <w:tab w:val="left" w:pos="2552"/>
        </w:tabs>
        <w:autoSpaceDE w:val="0"/>
        <w:autoSpaceDN w:val="0"/>
        <w:bidi/>
        <w:adjustRightInd w:val="0"/>
        <w:spacing w:after="120" w:line="360" w:lineRule="exact"/>
        <w:ind w:left="1134" w:firstLine="709"/>
        <w:contextualSpacing w:val="0"/>
        <w:jc w:val="both"/>
        <w:textDirection w:val="tbRlV"/>
        <w:rPr>
          <w:rFonts w:ascii="Simplified Arabic" w:hAnsi="Simplified Arabic" w:cs="Simplified Arabic"/>
          <w:szCs w:val="24"/>
        </w:rPr>
      </w:pPr>
      <w:r w:rsidRPr="00DE0F03">
        <w:rPr>
          <w:rFonts w:ascii="Simplified Arabic" w:hAnsi="Simplified Arabic" w:cs="Simplified Arabic" w:hint="cs"/>
          <w:szCs w:val="24"/>
          <w:rtl/>
        </w:rPr>
        <w:t>إتاحة المعلومات عن التعاريف الوطنية للنفايات الخطرة، والمعلومات عن القيود أو حالات الحظر المفروضة على الاستيراد أو التصدير باللغات الرسمية الست للأمم المتحدة، رهناً بتوافر الموارد؛</w:t>
      </w:r>
    </w:p>
    <w:p w14:paraId="4C65D00A" w14:textId="77777777" w:rsidR="005F064A" w:rsidRPr="00DE0F03" w:rsidRDefault="005F064A" w:rsidP="005F064A">
      <w:pPr>
        <w:pStyle w:val="ListParagraph"/>
        <w:numPr>
          <w:ilvl w:val="0"/>
          <w:numId w:val="8"/>
        </w:numPr>
        <w:tabs>
          <w:tab w:val="left" w:pos="2552"/>
        </w:tabs>
        <w:autoSpaceDE w:val="0"/>
        <w:autoSpaceDN w:val="0"/>
        <w:bidi/>
        <w:adjustRightInd w:val="0"/>
        <w:spacing w:after="120" w:line="360" w:lineRule="exact"/>
        <w:ind w:left="1134" w:firstLine="709"/>
        <w:contextualSpacing w:val="0"/>
        <w:jc w:val="both"/>
        <w:textDirection w:val="tbRlV"/>
        <w:rPr>
          <w:rFonts w:ascii="Simplified Arabic" w:hAnsi="Simplified Arabic" w:cs="Simplified Arabic"/>
          <w:szCs w:val="24"/>
        </w:rPr>
      </w:pPr>
      <w:r w:rsidRPr="00DE0F03">
        <w:rPr>
          <w:rFonts w:ascii="Simplified Arabic" w:hAnsi="Simplified Arabic" w:cs="Simplified Arabic" w:hint="cs"/>
          <w:szCs w:val="24"/>
          <w:rtl/>
        </w:rPr>
        <w:t>تزويد الأطراف، بناء على طلبها، بالمشورة بشأن المسائل المتعلقة بتنفيذ الاتفاقية وإنفاذها، بما في ذلك ما يتعلق بإعداد وتحديث التشريعات الوطنية أو غيرها من التدابير، والمساعدة في تحديد حالات الاتجار غير القانوني؛</w:t>
      </w:r>
    </w:p>
    <w:p w14:paraId="78EAEB44" w14:textId="77777777" w:rsidR="005F064A" w:rsidRPr="00DE0F03" w:rsidRDefault="005F064A" w:rsidP="005F064A">
      <w:pPr>
        <w:pStyle w:val="ListParagraph"/>
        <w:numPr>
          <w:ilvl w:val="0"/>
          <w:numId w:val="8"/>
        </w:numPr>
        <w:tabs>
          <w:tab w:val="left" w:pos="2552"/>
        </w:tabs>
        <w:autoSpaceDE w:val="0"/>
        <w:autoSpaceDN w:val="0"/>
        <w:bidi/>
        <w:adjustRightInd w:val="0"/>
        <w:spacing w:after="120" w:line="360" w:lineRule="exact"/>
        <w:ind w:left="1134" w:firstLine="709"/>
        <w:contextualSpacing w:val="0"/>
        <w:jc w:val="both"/>
        <w:textDirection w:val="tbRlV"/>
        <w:rPr>
          <w:rFonts w:ascii="Simplified Arabic" w:hAnsi="Simplified Arabic" w:cs="Simplified Arabic"/>
          <w:szCs w:val="24"/>
        </w:rPr>
      </w:pPr>
      <w:r w:rsidRPr="00DE0F03">
        <w:rPr>
          <w:rFonts w:ascii="Simplified Arabic" w:hAnsi="Simplified Arabic" w:cs="Simplified Arabic" w:hint="cs"/>
          <w:szCs w:val="24"/>
          <w:rtl/>
        </w:rPr>
        <w:lastRenderedPageBreak/>
        <w:t>مواصلة التعاون مع منظمات وشبكات الإنفاذ؛</w:t>
      </w:r>
    </w:p>
    <w:p w14:paraId="67509586" w14:textId="77777777" w:rsidR="005F064A" w:rsidRPr="00DE0F03" w:rsidRDefault="005F064A" w:rsidP="005F064A">
      <w:pPr>
        <w:pStyle w:val="ListParagraph"/>
        <w:numPr>
          <w:ilvl w:val="0"/>
          <w:numId w:val="8"/>
        </w:numPr>
        <w:tabs>
          <w:tab w:val="left" w:pos="2552"/>
        </w:tabs>
        <w:autoSpaceDE w:val="0"/>
        <w:autoSpaceDN w:val="0"/>
        <w:bidi/>
        <w:adjustRightInd w:val="0"/>
        <w:spacing w:after="120" w:line="360" w:lineRule="exact"/>
        <w:ind w:left="1134" w:firstLine="709"/>
        <w:contextualSpacing w:val="0"/>
        <w:jc w:val="both"/>
        <w:textDirection w:val="tbRlV"/>
        <w:rPr>
          <w:rFonts w:ascii="Simplified Arabic" w:hAnsi="Simplified Arabic" w:cs="Simplified Arabic"/>
          <w:szCs w:val="24"/>
        </w:rPr>
      </w:pPr>
      <w:r w:rsidRPr="00DE0F03">
        <w:rPr>
          <w:rFonts w:ascii="Simplified Arabic" w:hAnsi="Simplified Arabic" w:cs="Simplified Arabic" w:hint="cs"/>
          <w:szCs w:val="24"/>
          <w:rtl/>
        </w:rPr>
        <w:t>مواصلة تطوير الأدوات، بما في ذلك أدوات التعلم الإلكتروني، وتنظيم أنشطة التدريب على الإنفاذ، رهناً بتوافر الموارد، بالتعاون مع المراكز الإقليمية والتنسيقية لاتفاقية بازل وأمانات الاتفاقات البيئية المتعددة الأطراف الأخرى ذات الصلة والمنظمات أو الوكالات أو البرامج الدولية الأخرى، ومساعدة الأطراف، ولا سيما البلدان النامية الأطراف والأطراف التي تمر اقتصاداتها بمراحل انتقالية، على وضع تشريعات وطنية وتدابير أخرى لتنفيذ الاتفاقية وإنفاذها ومنع الاتجار غير القانوني والمعاقبة عليه؛</w:t>
      </w:r>
    </w:p>
    <w:p w14:paraId="19851F68" w14:textId="77777777" w:rsidR="005F064A" w:rsidRPr="00DE0F03" w:rsidRDefault="005F064A" w:rsidP="005F064A">
      <w:pPr>
        <w:pStyle w:val="ListParagraph"/>
        <w:numPr>
          <w:ilvl w:val="0"/>
          <w:numId w:val="8"/>
        </w:numPr>
        <w:tabs>
          <w:tab w:val="left" w:pos="2552"/>
        </w:tabs>
        <w:autoSpaceDE w:val="0"/>
        <w:autoSpaceDN w:val="0"/>
        <w:bidi/>
        <w:adjustRightInd w:val="0"/>
        <w:spacing w:after="120" w:line="360" w:lineRule="exact"/>
        <w:ind w:left="1134" w:firstLine="709"/>
        <w:contextualSpacing w:val="0"/>
        <w:jc w:val="both"/>
        <w:textDirection w:val="tbRlV"/>
        <w:rPr>
          <w:rFonts w:ascii="Simplified Arabic" w:hAnsi="Simplified Arabic" w:cs="Simplified Arabic"/>
          <w:szCs w:val="24"/>
        </w:rPr>
      </w:pPr>
      <w:r w:rsidRPr="00DE0F03">
        <w:rPr>
          <w:rFonts w:ascii="Simplified Arabic" w:hAnsi="Simplified Arabic" w:cs="Simplified Arabic" w:hint="cs"/>
          <w:szCs w:val="24"/>
          <w:rtl/>
        </w:rPr>
        <w:t>تقديم تقرير عن تنفيذ هذا المقرر إلى مؤتمر الأطراف في اجتماعه السادس عشر.</w:t>
      </w:r>
    </w:p>
    <w:p w14:paraId="59870BA7" w14:textId="2E2EF4D8" w:rsidR="00F935A6" w:rsidRPr="005F064A" w:rsidRDefault="00F935A6" w:rsidP="005F064A"/>
    <w:sectPr w:rsidR="00F935A6" w:rsidRPr="005F064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9EA84" w14:textId="77777777" w:rsidR="00A32C6F" w:rsidRDefault="00A32C6F" w:rsidP="00BD27C1">
      <w:r>
        <w:separator/>
      </w:r>
    </w:p>
  </w:endnote>
  <w:endnote w:type="continuationSeparator" w:id="0">
    <w:p w14:paraId="7B097565" w14:textId="77777777" w:rsidR="00A32C6F" w:rsidRDefault="00A32C6F" w:rsidP="00BD2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plified Arabic">
    <w:altName w:val="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F7FE7" w14:textId="77777777" w:rsidR="00A32C6F" w:rsidRDefault="00A32C6F" w:rsidP="00BD27C1">
      <w:r>
        <w:separator/>
      </w:r>
    </w:p>
  </w:footnote>
  <w:footnote w:type="continuationSeparator" w:id="0">
    <w:p w14:paraId="62C13054" w14:textId="77777777" w:rsidR="00A32C6F" w:rsidRDefault="00A32C6F" w:rsidP="00BD27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76AC5"/>
    <w:multiLevelType w:val="hybridMultilevel"/>
    <w:tmpl w:val="8C204F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67FA4338">
      <w:start w:val="1"/>
      <w:numFmt w:val="decimal"/>
      <w:lvlText w:val="%7-"/>
      <w:lvlJc w:val="left"/>
      <w:pPr>
        <w:ind w:left="5040" w:hanging="360"/>
      </w:pPr>
      <w:rPr>
        <w:rFonts w:ascii="Simplified Arabic" w:eastAsia="Arial" w:hAnsi="Simplified Arabic" w:cs="Simplified Arabic"/>
      </w:r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B075D41"/>
    <w:multiLevelType w:val="hybridMultilevel"/>
    <w:tmpl w:val="505C464E"/>
    <w:lvl w:ilvl="0" w:tplc="D63C4FCA">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C10B45"/>
    <w:multiLevelType w:val="hybridMultilevel"/>
    <w:tmpl w:val="0B0AF122"/>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5" w15:restartNumberingAfterBreak="0">
    <w:nsid w:val="55BF49BE"/>
    <w:multiLevelType w:val="hybridMultilevel"/>
    <w:tmpl w:val="6B086F1C"/>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6" w15:restartNumberingAfterBreak="0">
    <w:nsid w:val="64107D20"/>
    <w:multiLevelType w:val="hybridMultilevel"/>
    <w:tmpl w:val="68AAB884"/>
    <w:lvl w:ilvl="0" w:tplc="0809000F">
      <w:start w:val="1"/>
      <w:numFmt w:val="decimal"/>
      <w:lvlText w:val="%1."/>
      <w:lvlJc w:val="left"/>
      <w:pPr>
        <w:ind w:left="1346" w:hanging="360"/>
      </w:pPr>
    </w:lvl>
    <w:lvl w:ilvl="1" w:tplc="0598EA8E">
      <w:start w:val="1"/>
      <w:numFmt w:val="lowerLetter"/>
      <w:lvlText w:val="(%2)"/>
      <w:lvlJc w:val="left"/>
      <w:pPr>
        <w:ind w:left="2336" w:hanging="630"/>
      </w:pPr>
      <w:rPr>
        <w:rFonts w:hint="default"/>
      </w:rPr>
    </w:lvl>
    <w:lvl w:ilvl="2" w:tplc="24344FE0">
      <w:start w:val="1"/>
      <w:numFmt w:val="arabicAlpha"/>
      <w:lvlText w:val="(%3)"/>
      <w:lvlJc w:val="left"/>
      <w:pPr>
        <w:ind w:left="3116" w:hanging="510"/>
      </w:pPr>
      <w:rPr>
        <w:rFonts w:hint="default"/>
        <w:color w:val="auto"/>
      </w:rPr>
    </w:lvl>
    <w:lvl w:ilvl="3" w:tplc="0809000F" w:tentative="1">
      <w:start w:val="1"/>
      <w:numFmt w:val="decimal"/>
      <w:lvlText w:val="%4."/>
      <w:lvlJc w:val="left"/>
      <w:pPr>
        <w:ind w:left="3506" w:hanging="360"/>
      </w:pPr>
    </w:lvl>
    <w:lvl w:ilvl="4" w:tplc="08090019" w:tentative="1">
      <w:start w:val="1"/>
      <w:numFmt w:val="lowerLetter"/>
      <w:lvlText w:val="%5."/>
      <w:lvlJc w:val="left"/>
      <w:pPr>
        <w:ind w:left="4226" w:hanging="360"/>
      </w:pPr>
    </w:lvl>
    <w:lvl w:ilvl="5" w:tplc="0809001B" w:tentative="1">
      <w:start w:val="1"/>
      <w:numFmt w:val="lowerRoman"/>
      <w:lvlText w:val="%6."/>
      <w:lvlJc w:val="right"/>
      <w:pPr>
        <w:ind w:left="4946" w:hanging="180"/>
      </w:pPr>
    </w:lvl>
    <w:lvl w:ilvl="6" w:tplc="9F76E4E4">
      <w:start w:val="1"/>
      <w:numFmt w:val="decimal"/>
      <w:lvlText w:val="%7-"/>
      <w:lvlJc w:val="left"/>
      <w:pPr>
        <w:ind w:left="5666" w:hanging="360"/>
      </w:pPr>
      <w:rPr>
        <w:rFonts w:ascii="Simplified Arabic" w:eastAsia="Times New Roman" w:hAnsi="Simplified Arabic" w:cs="Simplified Arabic"/>
      </w:rPr>
    </w:lvl>
    <w:lvl w:ilvl="7" w:tplc="08090019" w:tentative="1">
      <w:start w:val="1"/>
      <w:numFmt w:val="lowerLetter"/>
      <w:lvlText w:val="%8."/>
      <w:lvlJc w:val="left"/>
      <w:pPr>
        <w:ind w:left="6386" w:hanging="360"/>
      </w:pPr>
    </w:lvl>
    <w:lvl w:ilvl="8" w:tplc="0809001B" w:tentative="1">
      <w:start w:val="1"/>
      <w:numFmt w:val="lowerRoman"/>
      <w:lvlText w:val="%9."/>
      <w:lvlJc w:val="right"/>
      <w:pPr>
        <w:ind w:left="7106" w:hanging="180"/>
      </w:pPr>
    </w:lvl>
  </w:abstractNum>
  <w:abstractNum w:abstractNumId="7"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63379925">
    <w:abstractNumId w:val="3"/>
    <w:lvlOverride w:ilvl="0">
      <w:lvl w:ilvl="0" w:tplc="08090001">
        <w:start w:val="1"/>
        <w:numFmt w:val="bullet"/>
        <w:lvlText w:val=""/>
        <w:lvlJc w:val="left"/>
        <w:pPr>
          <w:ind w:left="720" w:hanging="360"/>
        </w:pPr>
        <w:rPr>
          <w:rFonts w:ascii="Symbol" w:hAnsi="Symbol" w:hint="default"/>
        </w:rPr>
      </w:lvl>
    </w:lvlOverride>
  </w:num>
  <w:num w:numId="2" w16cid:durableId="932472161">
    <w:abstractNumId w:val="2"/>
    <w:lvlOverride w:ilvl="0">
      <w:lvl w:ilvl="0" w:tplc="DBF84888">
        <w:start w:val="1"/>
        <w:numFmt w:val="bullet"/>
        <w:lvlText w:val="-"/>
        <w:lvlJc w:val="left"/>
        <w:pPr>
          <w:ind w:left="720" w:hanging="360"/>
        </w:pPr>
        <w:rPr>
          <w:rFonts w:ascii="Courier New" w:hAnsi="Courier New" w:hint="default"/>
        </w:rPr>
      </w:lvl>
    </w:lvlOverride>
  </w:num>
  <w:num w:numId="3" w16cid:durableId="317999038">
    <w:abstractNumId w:val="7"/>
    <w:lvlOverride w:ilvl="0">
      <w:lvl w:ilvl="0" w:tplc="04090005">
        <w:start w:val="1"/>
        <w:numFmt w:val="bullet"/>
        <w:lvlText w:val=""/>
        <w:lvlJc w:val="left"/>
        <w:pPr>
          <w:ind w:left="720" w:hanging="360"/>
        </w:pPr>
        <w:rPr>
          <w:rFonts w:ascii="Wingdings" w:hAnsi="Wingdings" w:hint="default"/>
        </w:rPr>
      </w:lvl>
    </w:lvlOverride>
  </w:num>
  <w:num w:numId="4" w16cid:durableId="1897086548">
    <w:abstractNumId w:val="1"/>
  </w:num>
  <w:num w:numId="5" w16cid:durableId="1504709065">
    <w:abstractNumId w:val="0"/>
  </w:num>
  <w:num w:numId="6" w16cid:durableId="94594890">
    <w:abstractNumId w:val="4"/>
  </w:num>
  <w:num w:numId="7" w16cid:durableId="1684743227">
    <w:abstractNumId w:val="6"/>
  </w:num>
  <w:num w:numId="8" w16cid:durableId="6804731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7C1"/>
    <w:rsid w:val="002E3CE2"/>
    <w:rsid w:val="005F064A"/>
    <w:rsid w:val="00836B73"/>
    <w:rsid w:val="00A32C6F"/>
    <w:rsid w:val="00BD27C1"/>
    <w:rsid w:val="00C8453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3AB1D"/>
  <w15:chartTrackingRefBased/>
  <w15:docId w15:val="{50B88A4D-5EA2-4704-A544-219D94C67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7C1"/>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BD27C1"/>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BD27C1"/>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BD27C1"/>
    <w:rPr>
      <w:vertAlign w:val="superscript"/>
    </w:rPr>
  </w:style>
  <w:style w:type="character" w:styleId="Hyperlink">
    <w:name w:val="Hyperlink"/>
    <w:uiPriority w:val="99"/>
    <w:rsid w:val="00BD27C1"/>
    <w:rPr>
      <w:color w:val="0000FF"/>
      <w:u w:val="single"/>
    </w:rPr>
  </w:style>
  <w:style w:type="paragraph" w:customStyle="1" w:styleId="Normal-pool">
    <w:name w:val="Normal-pool"/>
    <w:link w:val="Normal-poolChar"/>
    <w:qFormat/>
    <w:rsid w:val="00BD27C1"/>
    <w:pPr>
      <w:tabs>
        <w:tab w:val="left" w:pos="1247"/>
        <w:tab w:val="left" w:pos="1814"/>
        <w:tab w:val="left" w:pos="2381"/>
        <w:tab w:val="left" w:pos="2948"/>
        <w:tab w:val="left" w:pos="3515"/>
      </w:tabs>
      <w:bidi/>
      <w:spacing w:after="0" w:line="240" w:lineRule="auto"/>
    </w:pPr>
    <w:rPr>
      <w:rFonts w:ascii="Arial" w:eastAsia="Arial" w:hAnsi="Arial" w:cs="Arial"/>
      <w:sz w:val="20"/>
      <w:szCs w:val="20"/>
      <w:lang w:val="en-GB" w:eastAsia="en-US"/>
    </w:rPr>
  </w:style>
  <w:style w:type="character" w:customStyle="1" w:styleId="NormalnumberChar">
    <w:name w:val="Normal_number Char"/>
    <w:link w:val="Normalnumber"/>
    <w:qFormat/>
    <w:locked/>
    <w:rsid w:val="00BD27C1"/>
    <w:rPr>
      <w:lang w:val="fr-FR" w:eastAsia="x-none"/>
    </w:rPr>
  </w:style>
  <w:style w:type="paragraph" w:customStyle="1" w:styleId="Normalnumber">
    <w:name w:val="Normal_number"/>
    <w:basedOn w:val="Normal"/>
    <w:link w:val="NormalnumberChar"/>
    <w:qFormat/>
    <w:rsid w:val="00BD27C1"/>
    <w:pPr>
      <w:tabs>
        <w:tab w:val="left" w:pos="1247"/>
        <w:tab w:val="left" w:pos="1814"/>
        <w:tab w:val="left" w:pos="2381"/>
        <w:tab w:val="left" w:pos="2948"/>
        <w:tab w:val="left" w:pos="3515"/>
        <w:tab w:val="left" w:pos="4082"/>
      </w:tabs>
      <w:bidi w:val="0"/>
      <w:spacing w:after="120"/>
    </w:pPr>
    <w:rPr>
      <w:rFonts w:asciiTheme="minorHAnsi" w:eastAsiaTheme="minorEastAsia" w:hAnsiTheme="minorHAnsi" w:cstheme="minorBidi"/>
      <w:sz w:val="22"/>
      <w:szCs w:val="22"/>
      <w:lang w:val="fr-FR" w:eastAsia="x-none"/>
    </w:rPr>
  </w:style>
  <w:style w:type="character" w:customStyle="1" w:styleId="Normal-poolChar">
    <w:name w:val="Normal-pool Char"/>
    <w:link w:val="Normal-pool"/>
    <w:locked/>
    <w:rsid w:val="00BD27C1"/>
    <w:rPr>
      <w:rFonts w:ascii="Arial" w:eastAsia="Arial" w:hAnsi="Arial" w:cs="Arial"/>
      <w:sz w:val="20"/>
      <w:szCs w:val="20"/>
      <w:lang w:val="en-GB" w:eastAsia="en-US"/>
    </w:rPr>
  </w:style>
  <w:style w:type="paragraph" w:styleId="ListParagraph">
    <w:name w:val="List Paragraph"/>
    <w:basedOn w:val="Normal"/>
    <w:uiPriority w:val="34"/>
    <w:qFormat/>
    <w:rsid w:val="00BD27C1"/>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BD27C1"/>
    <w:pPr>
      <w:bidi w:val="0"/>
      <w:spacing w:before="120" w:after="160" w:line="240" w:lineRule="exact"/>
    </w:pPr>
    <w:rPr>
      <w:rFonts w:asciiTheme="minorHAnsi" w:eastAsiaTheme="minorEastAsia" w:hAnsiTheme="minorHAnsi" w:cstheme="minorBidi"/>
      <w:sz w:val="22"/>
      <w:szCs w:val="22"/>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446</Words>
  <Characters>2543</Characters>
  <Application>Microsoft Office Word</Application>
  <DocSecurity>0</DocSecurity>
  <Lines>21</Lines>
  <Paragraphs>5</Paragraphs>
  <ScaleCrop>false</ScaleCrop>
  <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2023-04-27T12:55:00Z</dcterms:created>
  <dcterms:modified xsi:type="dcterms:W3CDTF">2023-04-27T12:55:00Z</dcterms:modified>
</cp:coreProperties>
</file>