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E1A2E" w14:textId="77777777" w:rsidR="00C803C5" w:rsidRPr="00447994" w:rsidRDefault="00C803C5" w:rsidP="00C803C5">
      <w:pPr>
        <w:pStyle w:val="CH1"/>
        <w:rPr>
          <w:lang w:val="es-ES_tradnl"/>
        </w:rPr>
      </w:pPr>
      <w:bookmarkStart w:id="0" w:name="_Hlk106798676"/>
      <w:r w:rsidRPr="00447994">
        <w:rPr>
          <w:lang w:val="es-ES_tradnl"/>
        </w:rPr>
        <w:tab/>
      </w:r>
      <w:r w:rsidRPr="00447994">
        <w:rPr>
          <w:lang w:val="es-ES_tradnl"/>
        </w:rPr>
        <w:tab/>
      </w:r>
      <w:r w:rsidRPr="00447994">
        <w:rPr>
          <w:bCs/>
          <w:lang w:val="es-ES_tradnl"/>
        </w:rPr>
        <w:t>BC</w:t>
      </w:r>
      <w:r w:rsidRPr="00447994">
        <w:rPr>
          <w:bCs/>
          <w:lang w:val="es-ES_tradnl"/>
        </w:rPr>
        <w:noBreakHyphen/>
        <w:t>15/20: Legislación nacional, notificaciones, aplicación del Convenio y esfuerzos dirigidos a luchar contra el tráfico ilícito</w:t>
      </w:r>
      <w:bookmarkStart w:id="1" w:name="_Hlk106798661"/>
      <w:bookmarkEnd w:id="1"/>
    </w:p>
    <w:bookmarkEnd w:id="0"/>
    <w:p w14:paraId="1C3F271D" w14:textId="77777777" w:rsidR="00C803C5" w:rsidRPr="00447994" w:rsidRDefault="00C803C5" w:rsidP="00C803C5">
      <w:pPr>
        <w:pStyle w:val="Normal-pool"/>
        <w:spacing w:after="120"/>
        <w:ind w:left="1247" w:firstLine="624"/>
        <w:rPr>
          <w:rFonts w:eastAsia="Times New Roman"/>
          <w:i/>
          <w:iCs/>
          <w:lang w:val="es-ES_tradnl"/>
        </w:rPr>
      </w:pPr>
      <w:r w:rsidRPr="00447994">
        <w:rPr>
          <w:i/>
          <w:iCs/>
          <w:lang w:val="es-ES_tradnl"/>
        </w:rPr>
        <w:t>La Conferencia de las Partes,</w:t>
      </w:r>
      <w:r w:rsidRPr="00447994">
        <w:rPr>
          <w:lang w:val="es-ES_tradnl"/>
        </w:rPr>
        <w:t xml:space="preserve"> </w:t>
      </w:r>
    </w:p>
    <w:p w14:paraId="3DCC3331" w14:textId="77777777" w:rsidR="00C803C5" w:rsidRPr="00447994" w:rsidRDefault="00C803C5" w:rsidP="00C803C5">
      <w:pPr>
        <w:pStyle w:val="Normal-pool"/>
        <w:spacing w:after="120"/>
        <w:ind w:left="1247" w:firstLine="624"/>
        <w:rPr>
          <w:rFonts w:eastAsia="Times New Roman"/>
          <w:lang w:val="es-ES_tradnl"/>
        </w:rPr>
      </w:pPr>
      <w:r w:rsidRPr="00447994">
        <w:rPr>
          <w:i/>
          <w:iCs/>
          <w:lang w:val="es-ES_tradnl"/>
        </w:rPr>
        <w:t>Haciendo notar</w:t>
      </w:r>
      <w:r w:rsidRPr="00447994">
        <w:rPr>
          <w:lang w:val="es-ES_tradnl"/>
        </w:rPr>
        <w:t xml:space="preserve"> su decisión BC</w:t>
      </w:r>
      <w:r w:rsidRPr="00447994">
        <w:rPr>
          <w:lang w:val="es-ES_tradnl"/>
        </w:rPr>
        <w:noBreakHyphen/>
        <w:t>15/27, relativa a las sinergias en la prevención y la lucha contra el tráfico y el comercio ilícitos de productos químicos y desechos peligrosos,</w:t>
      </w:r>
    </w:p>
    <w:p w14:paraId="5DD4A65B"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r w:rsidRPr="00447994">
        <w:rPr>
          <w:i/>
          <w:iCs/>
          <w:lang w:val="es-ES_tradnl"/>
        </w:rPr>
        <w:t>Alienta</w:t>
      </w:r>
      <w:r w:rsidRPr="00447994">
        <w:rPr>
          <w:lang w:val="es-ES_tradnl"/>
        </w:rPr>
        <w:t xml:space="preserve"> a la Secretaría a intensificar sus actividades de aplicación y cumplimiento en apoyo de las Partes; </w:t>
      </w:r>
    </w:p>
    <w:p w14:paraId="41FEDCCE"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r w:rsidRPr="00447994">
        <w:rPr>
          <w:i/>
          <w:iCs/>
          <w:lang w:val="es-ES_tradnl"/>
        </w:rPr>
        <w:t>Invita</w:t>
      </w:r>
      <w:r w:rsidRPr="00447994">
        <w:rPr>
          <w:lang w:val="es-ES_tradnl"/>
        </w:rPr>
        <w:t xml:space="preserve"> a las organizaciones y redes encargadas del cumplimiento a seguir participando activamente en la prevención y la lucha contra el tráfico ilícito de desechos peligrosos y otros desechos, y colaborando con la Secretaría en las actividades encaminadas a ayudar a las Partes a prevenir y combatir el tráfico ilícito; </w:t>
      </w:r>
    </w:p>
    <w:p w14:paraId="6969AC51"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bookmarkStart w:id="2" w:name="_Hlk106798758"/>
      <w:r w:rsidRPr="00447994">
        <w:rPr>
          <w:i/>
          <w:iCs/>
          <w:lang w:val="es-ES_tradnl"/>
        </w:rPr>
        <w:t>Recuerda</w:t>
      </w:r>
      <w:r w:rsidRPr="00447994">
        <w:rPr>
          <w:lang w:val="es-ES_tradnl"/>
        </w:rPr>
        <w:t xml:space="preserve"> a las Partes que deben cumplir las obligaciones establecidas en el párrafo 4 del artículo 4 y el párrafo 5 del artículo 9 del Convenio, mediante la actualización o elaboración de legislación estricta sobre el control de los movimientos transfronterizos de desechos peligrosos y la incorporación en su legislación nacional de las correspondientes sanciones o penas por tráfico ilícito de desechos peligrosos y otros desechos; </w:t>
      </w:r>
    </w:p>
    <w:p w14:paraId="16048555"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r w:rsidRPr="00447994">
        <w:rPr>
          <w:i/>
          <w:iCs/>
          <w:lang w:val="es-ES_tradnl"/>
        </w:rPr>
        <w:t>Invita</w:t>
      </w:r>
      <w:r w:rsidRPr="00447994">
        <w:rPr>
          <w:lang w:val="es-ES_tradnl"/>
        </w:rPr>
        <w:t xml:space="preserve"> a las Partes a seguir intercambiando información, por conducto de la Secretaría, acerca de las mejores prácticas para prevenir y combatir el tráfico ilícito y a informar a la Secretaría sobre los casos confirmados de tráfico ilícito valiéndose del formulario prescrito al efecto o del cuadro 9 del formato de presentación de informes nacionales; </w:t>
      </w:r>
    </w:p>
    <w:p w14:paraId="467BC28E"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r w:rsidRPr="00447994">
        <w:rPr>
          <w:i/>
          <w:iCs/>
          <w:lang w:val="es-ES_tradnl"/>
        </w:rPr>
        <w:t>Invita también</w:t>
      </w:r>
      <w:r w:rsidRPr="00447994">
        <w:rPr>
          <w:lang w:val="es-ES_tradnl"/>
        </w:rPr>
        <w:t xml:space="preserve"> a las Partes que aún no hayan facilitado a la Secretaría la información sobre definiciones nacionales de desechos peligrosos prevista en el artículo 3 y en el párrafo 2 b) del artículo 13 del Convenio ni la información sobre restricciones o prohibiciones a la importación o la exportación prevista en el párrafo 1 a) y 1 b) del artículo 4 y el párrafo 2 c) y d) del artículo 13 del Convenio a que la faciliten cuanto antes y notifiquen, por medio de las entidades de enlace que hayan designado, toda modificación importante que introduzcan ulteriormente en esa información valiéndose del formulario normalizado de presentación de informes o del formato para la presentación de informes nacionales; </w:t>
      </w:r>
    </w:p>
    <w:bookmarkEnd w:id="2"/>
    <w:p w14:paraId="14E38FAA" w14:textId="77777777" w:rsidR="00C803C5" w:rsidRPr="00447994" w:rsidRDefault="00C803C5" w:rsidP="00C803C5">
      <w:pPr>
        <w:numPr>
          <w:ilvl w:val="6"/>
          <w:numId w:val="45"/>
        </w:numPr>
        <w:tabs>
          <w:tab w:val="left" w:pos="624"/>
        </w:tabs>
        <w:spacing w:after="120"/>
        <w:ind w:left="1247" w:firstLine="624"/>
        <w:rPr>
          <w:rFonts w:eastAsia="Times New Roman"/>
          <w:lang w:val="es-ES_tradnl"/>
        </w:rPr>
      </w:pPr>
      <w:r w:rsidRPr="00447994">
        <w:rPr>
          <w:i/>
          <w:iCs/>
          <w:lang w:val="es-ES_tradnl"/>
        </w:rPr>
        <w:t>Solicita</w:t>
      </w:r>
      <w:r w:rsidRPr="00447994">
        <w:rPr>
          <w:lang w:val="es-ES_tradnl"/>
        </w:rPr>
        <w:t xml:space="preserve"> a la Secretaría que: </w:t>
      </w:r>
    </w:p>
    <w:p w14:paraId="790B2A92"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Siga recopilando las mejores prácticas en materia de prevención y sanción del tráfico ilícito, formularios de presentación de informes sobre casos confirmados de tráfico ilícito, información sobre las definiciones nacionales de desechos peligrosos e información sobre prohibiciones o restricciones a la importación o la exportación, y que siga publicando esa información en el sitio web del Convenio; </w:t>
      </w:r>
    </w:p>
    <w:p w14:paraId="3C6D1D9F"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Ofrezca información sobre las definiciones nacionales de desechos peligrosos e información sobre prohibiciones o restricciones a la importación o la exportación, en los seis idiomas oficiales de las Naciones Unidas, en función de los recursos disponibles; </w:t>
      </w:r>
    </w:p>
    <w:p w14:paraId="41163CE5"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Preste a las Partes que lo soliciten asesoramiento en cuestiones relacionadas con la aplicación y el cumplimiento del Convenio, en especial sobre la elaboración y actualización de la legislación nacional u otras medidas, y asistencia en la detección de casos de tráfico ilícito; </w:t>
      </w:r>
    </w:p>
    <w:p w14:paraId="0D2AF8C2"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Siga cooperando con las organizaciones y redes encargadas del cumplimiento; </w:t>
      </w:r>
    </w:p>
    <w:p w14:paraId="4495DC9B"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Siga elaborando instrumentos, incluidas herramientas de aprendizaje electrónico, y organizando actividades de capacitación sobre cumplimiento de la normativa, en función de los recursos disponibles y en colaboración con los centros regionales y de coordinación del Convenio de Basilea, las secretarías de otros acuerdos ambientales multilaterales y otras organizaciones, organismos o programas internacionales competentes, y ayude a las Partes, en particular a las que </w:t>
      </w:r>
      <w:r w:rsidRPr="00447994">
        <w:rPr>
          <w:lang w:val="es-ES_tradnl"/>
        </w:rPr>
        <w:lastRenderedPageBreak/>
        <w:t xml:space="preserve">son países en desarrollo y países con economías en transición, a formular legislación nacional y otras medidas para aplicar y hacer cumplir el Convenio y para prevenir y castigar el tráfico ilícito; </w:t>
      </w:r>
    </w:p>
    <w:p w14:paraId="443CEDA4" w14:textId="77777777" w:rsidR="00C803C5" w:rsidRPr="00447994" w:rsidRDefault="00C803C5" w:rsidP="00C803C5">
      <w:pPr>
        <w:numPr>
          <w:ilvl w:val="1"/>
          <w:numId w:val="46"/>
        </w:numPr>
        <w:tabs>
          <w:tab w:val="left" w:pos="624"/>
        </w:tabs>
        <w:autoSpaceDE w:val="0"/>
        <w:autoSpaceDN w:val="0"/>
        <w:adjustRightInd w:val="0"/>
        <w:spacing w:after="120"/>
        <w:ind w:left="1247" w:firstLine="624"/>
        <w:rPr>
          <w:rFonts w:eastAsia="Times New Roman"/>
          <w:lang w:val="es-ES_tradnl"/>
        </w:rPr>
      </w:pPr>
      <w:r w:rsidRPr="00447994">
        <w:rPr>
          <w:lang w:val="es-ES_tradnl"/>
        </w:rPr>
        <w:t xml:space="preserve">Rinda informe a la Conferencia de las Partes, en su 16ª reunión, sobre la aplicación de la presente decisión. </w:t>
      </w:r>
    </w:p>
    <w:p w14:paraId="5E5F9B2A" w14:textId="184B60F2" w:rsidR="00F935A6" w:rsidRPr="00AD56CA" w:rsidRDefault="00F935A6" w:rsidP="00C803C5">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BB7E5" w14:textId="77777777" w:rsidR="00C21B80" w:rsidRDefault="00C21B80" w:rsidP="00162093">
      <w:r>
        <w:separator/>
      </w:r>
    </w:p>
  </w:endnote>
  <w:endnote w:type="continuationSeparator" w:id="0">
    <w:p w14:paraId="4B256A6E" w14:textId="77777777" w:rsidR="00C21B80" w:rsidRDefault="00C21B80"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AB4E21" w14:textId="77777777" w:rsidR="00C21B80" w:rsidRDefault="00C21B80" w:rsidP="00162093">
      <w:r>
        <w:separator/>
      </w:r>
    </w:p>
  </w:footnote>
  <w:footnote w:type="continuationSeparator" w:id="0">
    <w:p w14:paraId="7140862E" w14:textId="77777777" w:rsidR="00C21B80" w:rsidRDefault="00C21B80" w:rsidP="001620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2C3E909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03287C42"/>
    <w:lvl w:ilvl="0" w:tplc="AD5C50D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6CF0A7CC"/>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1C764CEA"/>
    <w:lvl w:ilvl="0" w:tplc="FFFFFFFF">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EE66849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6AC22BCE"/>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D705B50"/>
    <w:multiLevelType w:val="hybridMultilevel"/>
    <w:tmpl w:val="1532A09A"/>
    <w:lvl w:ilvl="0" w:tplc="78083696">
      <w:start w:val="1"/>
      <w:numFmt w:val="lowerLetter"/>
      <w:lvlText w:val="(%1)"/>
      <w:lvlJc w:val="left"/>
      <w:pPr>
        <w:ind w:left="3215" w:hanging="360"/>
      </w:pPr>
      <w:rPr>
        <w:rFonts w:hint="default"/>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2"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3"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34" w15:restartNumberingAfterBreak="0">
    <w:nsid w:val="66B46048"/>
    <w:multiLevelType w:val="hybridMultilevel"/>
    <w:tmpl w:val="299A6DB6"/>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5" w15:restartNumberingAfterBreak="0">
    <w:nsid w:val="66C85822"/>
    <w:multiLevelType w:val="hybridMultilevel"/>
    <w:tmpl w:val="2FECD330"/>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6"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0257D47"/>
    <w:multiLevelType w:val="hybridMultilevel"/>
    <w:tmpl w:val="724E815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3654B96"/>
    <w:multiLevelType w:val="hybridMultilevel"/>
    <w:tmpl w:val="52C82A9A"/>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3"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C1F1799"/>
    <w:multiLevelType w:val="hybridMultilevel"/>
    <w:tmpl w:val="47F4D202"/>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5"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20"/>
  </w:num>
  <w:num w:numId="2" w16cid:durableId="856044302">
    <w:abstractNumId w:val="23"/>
  </w:num>
  <w:num w:numId="3" w16cid:durableId="462120716">
    <w:abstractNumId w:val="25"/>
  </w:num>
  <w:num w:numId="4" w16cid:durableId="789864886">
    <w:abstractNumId w:val="3"/>
  </w:num>
  <w:num w:numId="5" w16cid:durableId="1728645053">
    <w:abstractNumId w:val="29"/>
  </w:num>
  <w:num w:numId="6" w16cid:durableId="85813326">
    <w:abstractNumId w:val="38"/>
  </w:num>
  <w:num w:numId="7" w16cid:durableId="1191188355">
    <w:abstractNumId w:val="32"/>
  </w:num>
  <w:num w:numId="8" w16cid:durableId="999232160">
    <w:abstractNumId w:val="43"/>
  </w:num>
  <w:num w:numId="9" w16cid:durableId="1014069525">
    <w:abstractNumId w:val="1"/>
  </w:num>
  <w:num w:numId="10" w16cid:durableId="1870412707">
    <w:abstractNumId w:val="26"/>
  </w:num>
  <w:num w:numId="11" w16cid:durableId="841354719">
    <w:abstractNumId w:val="14"/>
  </w:num>
  <w:num w:numId="12" w16cid:durableId="1748526776">
    <w:abstractNumId w:val="5"/>
  </w:num>
  <w:num w:numId="13" w16cid:durableId="587926112">
    <w:abstractNumId w:val="41"/>
  </w:num>
  <w:num w:numId="14" w16cid:durableId="858080661">
    <w:abstractNumId w:val="27"/>
  </w:num>
  <w:num w:numId="15" w16cid:durableId="972829247">
    <w:abstractNumId w:val="8"/>
  </w:num>
  <w:num w:numId="16" w16cid:durableId="561675094">
    <w:abstractNumId w:val="37"/>
  </w:num>
  <w:num w:numId="17" w16cid:durableId="1489244769">
    <w:abstractNumId w:val="15"/>
  </w:num>
  <w:num w:numId="18" w16cid:durableId="1778714523">
    <w:abstractNumId w:val="12"/>
  </w:num>
  <w:num w:numId="19" w16cid:durableId="1754861326">
    <w:abstractNumId w:val="18"/>
  </w:num>
  <w:num w:numId="20" w16cid:durableId="543106076">
    <w:abstractNumId w:val="16"/>
  </w:num>
  <w:num w:numId="21" w16cid:durableId="152643211">
    <w:abstractNumId w:val="11"/>
  </w:num>
  <w:num w:numId="22" w16cid:durableId="1578242278">
    <w:abstractNumId w:val="45"/>
  </w:num>
  <w:num w:numId="23" w16cid:durableId="1120296807">
    <w:abstractNumId w:val="0"/>
  </w:num>
  <w:num w:numId="24" w16cid:durableId="980039531">
    <w:abstractNumId w:val="40"/>
  </w:num>
  <w:num w:numId="25" w16cid:durableId="932201763">
    <w:abstractNumId w:val="24"/>
  </w:num>
  <w:num w:numId="26" w16cid:durableId="336153331">
    <w:abstractNumId w:val="28"/>
  </w:num>
  <w:num w:numId="27" w16cid:durableId="295767173">
    <w:abstractNumId w:val="34"/>
  </w:num>
  <w:num w:numId="28" w16cid:durableId="1903828338">
    <w:abstractNumId w:val="39"/>
  </w:num>
  <w:num w:numId="29" w16cid:durableId="1526821067">
    <w:abstractNumId w:val="21"/>
  </w:num>
  <w:num w:numId="30" w16cid:durableId="1730306811">
    <w:abstractNumId w:val="6"/>
  </w:num>
  <w:num w:numId="31" w16cid:durableId="76291601">
    <w:abstractNumId w:val="9"/>
  </w:num>
  <w:num w:numId="32" w16cid:durableId="390078842">
    <w:abstractNumId w:val="10"/>
  </w:num>
  <w:num w:numId="33" w16cid:durableId="65345120">
    <w:abstractNumId w:val="35"/>
  </w:num>
  <w:num w:numId="34" w16cid:durableId="205533918">
    <w:abstractNumId w:val="13"/>
  </w:num>
  <w:num w:numId="35" w16cid:durableId="586311273">
    <w:abstractNumId w:val="42"/>
  </w:num>
  <w:num w:numId="36" w16cid:durableId="87967618">
    <w:abstractNumId w:val="7"/>
  </w:num>
  <w:num w:numId="37" w16cid:durableId="70465405">
    <w:abstractNumId w:val="44"/>
  </w:num>
  <w:num w:numId="38" w16cid:durableId="1328828096">
    <w:abstractNumId w:val="19"/>
  </w:num>
  <w:num w:numId="39" w16cid:durableId="1406106348">
    <w:abstractNumId w:val="17"/>
  </w:num>
  <w:num w:numId="40" w16cid:durableId="263536115">
    <w:abstractNumId w:val="22"/>
  </w:num>
  <w:num w:numId="41" w16cid:durableId="1372731649">
    <w:abstractNumId w:val="36"/>
  </w:num>
  <w:num w:numId="42" w16cid:durableId="672534339">
    <w:abstractNumId w:val="30"/>
  </w:num>
  <w:num w:numId="43" w16cid:durableId="1056272441">
    <w:abstractNumId w:val="2"/>
  </w:num>
  <w:num w:numId="44" w16cid:durableId="2099788655">
    <w:abstractNumId w:val="4"/>
  </w:num>
  <w:num w:numId="45" w16cid:durableId="1035809377">
    <w:abstractNumId w:val="33"/>
  </w:num>
  <w:num w:numId="46" w16cid:durableId="192121008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62093"/>
    <w:rsid w:val="002403A2"/>
    <w:rsid w:val="00245BBD"/>
    <w:rsid w:val="002F78B7"/>
    <w:rsid w:val="003C0CF7"/>
    <w:rsid w:val="003E56FA"/>
    <w:rsid w:val="0067579D"/>
    <w:rsid w:val="007B69C9"/>
    <w:rsid w:val="00836B73"/>
    <w:rsid w:val="00A077D7"/>
    <w:rsid w:val="00A20275"/>
    <w:rsid w:val="00A83FA0"/>
    <w:rsid w:val="00AD56CA"/>
    <w:rsid w:val="00B909A9"/>
    <w:rsid w:val="00C21B80"/>
    <w:rsid w:val="00C803C5"/>
    <w:rsid w:val="00C84536"/>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611</Words>
  <Characters>3488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2023-05-22T13:29:00Z</dcterms:created>
  <dcterms:modified xsi:type="dcterms:W3CDTF">2023-05-22T13:29:00Z</dcterms:modified>
</cp:coreProperties>
</file>