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B542C" w14:textId="77777777" w:rsidR="00E97EB4" w:rsidRPr="00DE0F03" w:rsidRDefault="00E97EB4" w:rsidP="00E97EB4">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ب-15/21</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المساعدة التقنية</w:t>
      </w:r>
    </w:p>
    <w:p w14:paraId="6688E2CA" w14:textId="77777777" w:rsidR="00E97EB4" w:rsidRPr="00DE0F03" w:rsidRDefault="00E97EB4" w:rsidP="00E97EB4">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أولاً</w:t>
      </w:r>
    </w:p>
    <w:p w14:paraId="2C71522D" w14:textId="77777777" w:rsidR="00E97EB4" w:rsidRPr="00DE0F03" w:rsidRDefault="00E97EB4" w:rsidP="00E97EB4">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المساعدة التقنية</w:t>
      </w:r>
    </w:p>
    <w:p w14:paraId="126A4651" w14:textId="77777777" w:rsidR="00E97EB4" w:rsidRPr="00DE0F03" w:rsidRDefault="00E97EB4" w:rsidP="00E97EB4">
      <w:pPr>
        <w:pStyle w:val="Normal-pool"/>
        <w:tabs>
          <w:tab w:val="clear" w:pos="1247"/>
          <w:tab w:val="clear" w:pos="1814"/>
          <w:tab w:val="clear" w:pos="2381"/>
          <w:tab w:val="clear" w:pos="2948"/>
          <w:tab w:val="clear" w:pos="3515"/>
        </w:tabs>
        <w:spacing w:after="120" w:line="360" w:lineRule="exact"/>
        <w:ind w:left="1134" w:firstLine="709"/>
        <w:jc w:val="both"/>
        <w:textDirection w:val="tbRlV"/>
        <w:rPr>
          <w:rFonts w:ascii="Simplified Arabic" w:hAnsi="Simplified Arabic" w:cs="Simplified Arabic"/>
          <w:i/>
          <w:iCs/>
          <w:sz w:val="24"/>
          <w:szCs w:val="24"/>
          <w:lang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12184D39"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بالتقرير المتعلق باحتياجات البلدان النامية الأطراف والأطراف التي تمر اقتصاداتها بمرحلة انتقالية فيما يتعلق بالمساعدة التقنية ونقل التكنولوجيا</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1"/>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sz w:val="24"/>
          <w:szCs w:val="24"/>
          <w:rtl/>
          <w:lang w:val="en-GB"/>
        </w:rPr>
        <w:t>، وبقاعدة البيانات التي تلخص الاحتياجات من المساعدة التقني</w:t>
      </w:r>
      <w:r w:rsidRPr="00DE0F03">
        <w:rPr>
          <w:rFonts w:ascii="Simplified Arabic" w:eastAsia="Times New Roman" w:hAnsi="Simplified Arabic" w:cs="Simplified Arabic" w:hint="cs"/>
          <w:sz w:val="24"/>
          <w:szCs w:val="24"/>
          <w:rtl/>
          <w:lang w:val="en-GB"/>
        </w:rPr>
        <w:t>ة</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2"/>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hAnsi="Simplified Arabic" w:cs="Simplified Arabic" w:hint="cs"/>
          <w:sz w:val="24"/>
          <w:szCs w:val="24"/>
        </w:rPr>
        <w:t>؛</w:t>
      </w:r>
    </w:p>
    <w:p w14:paraId="4957353C"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جميع مقدمي المساعدة التقنية ذوي الصلة على النظر في المعلومات المتاحة في قاعدة البيانات تلك؛</w:t>
      </w:r>
    </w:p>
    <w:p w14:paraId="31A21B1C"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تعد التقرير المقبل عن احتياجات البلدان النامية الأطراف والأطراف التي تمر اقتصاداتها بمرحلة انتقالية من أجل المساعدة التقنية ونقل التكنولوجيا لتقديمه إلى مؤتمر الأطراف في اجتماعه في عام 2025؛ </w:t>
      </w:r>
    </w:p>
    <w:p w14:paraId="32F6D29F"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0" w:name="_Hlk60218582"/>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بالتقرير المتعلق بتنفيذ خطة المساعدة التقنية للفترة 2018-2021</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3"/>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r w:rsidRPr="00DE0F03">
        <w:rPr>
          <w:rFonts w:ascii="Simplified Arabic" w:eastAsia="Times New Roman" w:hAnsi="Simplified Arabic" w:cs="Simplified Arabic"/>
          <w:sz w:val="24"/>
          <w:szCs w:val="24"/>
          <w:rtl/>
          <w:lang w:val="en-GB"/>
        </w:rPr>
        <w:t xml:space="preserve"> بما في ذلك أنشطة بناء القدرات لتنفيذ اتفاقية بازل بشأن التحكم في 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w:t>
      </w:r>
      <w:bookmarkEnd w:id="0"/>
    </w:p>
    <w:p w14:paraId="41FAE23F"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بخطة المساعدة التقنية لتنفيذ اتفاقيات بازل وروتردام واستكهولم للفترة 2022-2025</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4"/>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50C66579" w14:textId="77777777" w:rsidR="00E97EB4" w:rsidRPr="004F60BE"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w w:val="104"/>
          <w:sz w:val="24"/>
          <w:szCs w:val="24"/>
          <w:lang w:val="en-GB"/>
        </w:rPr>
      </w:pPr>
      <w:r w:rsidRPr="004F60BE">
        <w:rPr>
          <w:rFonts w:ascii="Simplified Arabic" w:eastAsia="Times New Roman" w:hAnsi="Simplified Arabic" w:cs="Simplified Arabic"/>
          <w:i/>
          <w:iCs/>
          <w:w w:val="104"/>
          <w:sz w:val="24"/>
          <w:szCs w:val="24"/>
          <w:rtl/>
          <w:lang w:val="en-GB"/>
        </w:rPr>
        <w:t>يطلب</w:t>
      </w:r>
      <w:r w:rsidRPr="004F60BE">
        <w:rPr>
          <w:rFonts w:ascii="Simplified Arabic" w:eastAsia="Times New Roman" w:hAnsi="Simplified Arabic" w:cs="Simplified Arabic"/>
          <w:w w:val="104"/>
          <w:sz w:val="24"/>
          <w:szCs w:val="24"/>
          <w:rtl/>
          <w:lang w:val="en-GB"/>
        </w:rPr>
        <w:t xml:space="preserve"> إلى الأمانة نشر الخطة بمختلف الوسائل وتيسير التوعية بها لدى الجهات الفاعلة ذات الصلة؛</w:t>
      </w:r>
    </w:p>
    <w:p w14:paraId="662FC3F2"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 علماً</w:t>
      </w:r>
      <w:r w:rsidRPr="00DE0F03">
        <w:rPr>
          <w:rFonts w:ascii="Simplified Arabic" w:eastAsia="Times New Roman" w:hAnsi="Simplified Arabic" w:cs="Simplified Arabic"/>
          <w:sz w:val="24"/>
          <w:szCs w:val="24"/>
          <w:rtl/>
          <w:lang w:val="en-GB"/>
        </w:rPr>
        <w:t xml:space="preserve"> بالمعلومات الواردة في التقرير المعنون ”الطوارئ البيئية والصحية - دور اتفاقيات بازل وروتردام واستكهولم في دعم الأطراف في الوقاية والتأهب والاستجابة والتعافي“</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w:t>
      </w:r>
    </w:p>
    <w:p w14:paraId="517D17D2"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وبرنامج الأمم المتحدة للبيئة، ومنظمة الأغذية والزراعة للأمم المتحدة، ومرفق البيئة العالمية، والبرنامج الخاص لدعم التعزيز المؤسسي على الصعيد الوطني من أجل تنفيذ اتفاقيات بازل وروتردام واستكهولم، واتفاقية ميناماتا بشأن الزئبق، والنهج الاستراتيجي للإدارة الدولية للمواد الكيميائية، والمراكز </w:t>
      </w:r>
      <w:r w:rsidRPr="00DE0F03">
        <w:rPr>
          <w:rFonts w:ascii="Simplified Arabic" w:eastAsia="Times New Roman" w:hAnsi="Simplified Arabic" w:cs="Simplified Arabic"/>
          <w:sz w:val="24"/>
          <w:szCs w:val="24"/>
          <w:rtl/>
          <w:lang w:val="en-GB"/>
        </w:rPr>
        <w:lastRenderedPageBreak/>
        <w:t>الإقليمية لاتفاقيتي بازل واستكهولم، على مراعاة خطة المساعدة التقنية من أجل تنفيذ اتفاقيات بازل وروتردام واستكهولم للفترة 2022-2025؛</w:t>
      </w:r>
    </w:p>
    <w:p w14:paraId="4707A543"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يشجع</w:t>
      </w:r>
      <w:r w:rsidRPr="00DE0F03">
        <w:rPr>
          <w:rFonts w:ascii="Simplified Arabic" w:eastAsia="Times New Roman" w:hAnsi="Simplified Arabic" w:cs="Simplified Arabic"/>
          <w:sz w:val="24"/>
          <w:szCs w:val="24"/>
          <w:rtl/>
          <w:lang w:val="en-GB"/>
        </w:rPr>
        <w:t xml:space="preserve"> الأطراف المعنية، تمشياً مع المادة 10 من اتفاقية بازل، والمادة 16 من اتفاقية روتردام، والمادة 12 من اتفاقية استكهولم، ويدعو الجهات الأخرى القادرة إلى دعم تنفيذ خطة المساعدة التقنية للفترة 2022–2025؛</w:t>
      </w:r>
    </w:p>
    <w:p w14:paraId="0B5BCA3E"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 أن تقوم بما يلي، رهناً بتوفر الموارد:</w:t>
      </w:r>
    </w:p>
    <w:p w14:paraId="5B6A6A43" w14:textId="77777777" w:rsidR="00E97EB4" w:rsidRPr="00DE0F03" w:rsidRDefault="00E97EB4" w:rsidP="00E97EB4">
      <w:pPr>
        <w:pStyle w:val="Normal-pool"/>
        <w:numPr>
          <w:ilvl w:val="2"/>
          <w:numId w:val="1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color w:val="000000"/>
          <w:sz w:val="24"/>
          <w:szCs w:val="24"/>
          <w:rtl/>
          <w:lang w:val="ar-SA" w:eastAsia="zh-TW" w:bidi="en-GB"/>
        </w:rPr>
      </w:pPr>
      <w:proofErr w:type="spellStart"/>
      <w:r w:rsidRPr="00DE0F03">
        <w:rPr>
          <w:rFonts w:ascii="Simplified Arabic" w:hAnsi="Simplified Arabic" w:cs="Simplified Arabic"/>
          <w:sz w:val="24"/>
          <w:szCs w:val="24"/>
        </w:rPr>
        <w:t>تنفيذ</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بالتعاون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الجهات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الفاعلة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ذات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للفترة</w:t>
      </w:r>
      <w:proofErr w:type="spellEnd"/>
      <w:r w:rsidRPr="00DE0F03">
        <w:rPr>
          <w:rFonts w:ascii="Simplified Arabic" w:hAnsi="Simplified Arabic" w:cs="Simplified Arabic"/>
          <w:sz w:val="24"/>
          <w:szCs w:val="24"/>
        </w:rPr>
        <w:t xml:space="preserve"> 2022-2025 </w:t>
      </w:r>
      <w:proofErr w:type="spellStart"/>
      <w:r w:rsidRPr="00DE0F03">
        <w:rPr>
          <w:rFonts w:ascii="Simplified Arabic" w:hAnsi="Simplified Arabic" w:cs="Simplified Arabic"/>
          <w:sz w:val="24"/>
          <w:szCs w:val="24"/>
        </w:rPr>
        <w:t>وفقاً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للمقررات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اعتمدها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مؤتمر</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الأطراف</w:t>
      </w:r>
      <w:proofErr w:type="spellEnd"/>
      <w:r w:rsidRPr="00DE0F03">
        <w:rPr>
          <w:rFonts w:ascii="Simplified Arabic" w:hAnsi="Simplified Arabic" w:cs="Simplified Arabic"/>
          <w:sz w:val="24"/>
          <w:szCs w:val="24"/>
        </w:rPr>
        <w:t>؛</w:t>
      </w:r>
      <w:proofErr w:type="gramEnd"/>
    </w:p>
    <w:p w14:paraId="1C7B7FF5" w14:textId="77777777" w:rsidR="00E97EB4" w:rsidRPr="00DE0F03" w:rsidRDefault="00E97EB4" w:rsidP="00E97EB4">
      <w:pPr>
        <w:pStyle w:val="Normal-pool"/>
        <w:numPr>
          <w:ilvl w:val="2"/>
          <w:numId w:val="1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color w:val="000000"/>
          <w:sz w:val="24"/>
          <w:szCs w:val="24"/>
          <w:rtl/>
          <w:lang w:val="ar-SA" w:eastAsia="zh-TW" w:bidi="en-GB"/>
        </w:rPr>
      </w:pPr>
      <w:proofErr w:type="spellStart"/>
      <w:r w:rsidRPr="00DE0F03">
        <w:rPr>
          <w:rFonts w:ascii="Simplified Arabic" w:hAnsi="Simplified Arabic" w:cs="Simplified Arabic"/>
          <w:sz w:val="24"/>
          <w:szCs w:val="24"/>
        </w:rPr>
        <w:t>تعهُّد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قاعدة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البيانات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إليها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1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وضمان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تظل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متاحة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طريق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المواقع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الشبكية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للاتفاقيات</w:t>
      </w:r>
      <w:proofErr w:type="spellEnd"/>
      <w:r w:rsidRPr="00DE0F03">
        <w:rPr>
          <w:rFonts w:ascii="Simplified Arabic" w:hAnsi="Simplified Arabic" w:cs="Simplified Arabic"/>
          <w:sz w:val="24"/>
          <w:szCs w:val="24"/>
        </w:rPr>
        <w:t>؛</w:t>
      </w:r>
      <w:proofErr w:type="gramEnd"/>
    </w:p>
    <w:p w14:paraId="48E897E5" w14:textId="77777777" w:rsidR="00E97EB4" w:rsidRPr="00DE0F03" w:rsidRDefault="00E97EB4" w:rsidP="00E97EB4">
      <w:pPr>
        <w:pStyle w:val="Normal-pool"/>
        <w:numPr>
          <w:ilvl w:val="2"/>
          <w:numId w:val="10"/>
        </w:numPr>
        <w:tabs>
          <w:tab w:val="clear" w:pos="1247"/>
          <w:tab w:val="clear" w:pos="1814"/>
          <w:tab w:val="clear" w:pos="2381"/>
          <w:tab w:val="clear" w:pos="2948"/>
          <w:tab w:val="clear" w:pos="3515"/>
          <w:tab w:val="left" w:pos="2552"/>
        </w:tabs>
        <w:spacing w:after="120" w:line="360" w:lineRule="exact"/>
        <w:ind w:left="1134" w:firstLine="709"/>
        <w:jc w:val="both"/>
        <w:textDirection w:val="tbRlV"/>
        <w:rPr>
          <w:rFonts w:ascii="Simplified Arabic" w:hAnsi="Simplified Arabic" w:cs="Simplified Arabic"/>
          <w:color w:val="000000"/>
          <w:sz w:val="24"/>
          <w:szCs w:val="24"/>
          <w:lang w:val="ar-SA" w:eastAsia="zh-TW" w:bidi="en-GB"/>
        </w:rPr>
      </w:pPr>
      <w:proofErr w:type="spellStart"/>
      <w:r w:rsidRPr="00DE0F03">
        <w:rPr>
          <w:rFonts w:ascii="Simplified Arabic" w:hAnsi="Simplified Arabic" w:cs="Simplified Arabic"/>
          <w:sz w:val="24"/>
          <w:szCs w:val="24"/>
        </w:rPr>
        <w:t>مواصلة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إدراج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المعلومات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المتعلقة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برصد</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وتقييم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المشاريع</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المنفذة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إطار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خطة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المساعدة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التقنية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للفترة</w:t>
      </w:r>
      <w:proofErr w:type="spellEnd"/>
      <w:r w:rsidRPr="00DE0F03">
        <w:rPr>
          <w:rFonts w:ascii="Simplified Arabic" w:hAnsi="Simplified Arabic" w:cs="Simplified Arabic"/>
          <w:sz w:val="24"/>
          <w:szCs w:val="24"/>
        </w:rPr>
        <w:t xml:space="preserve"> 2022-2025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التقرير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المطلوب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الفقرة</w:t>
      </w:r>
      <w:proofErr w:type="spellEnd"/>
      <w:r w:rsidRPr="00DE0F03">
        <w:rPr>
          <w:rFonts w:ascii="Simplified Arabic" w:hAnsi="Simplified Arabic" w:cs="Simplified Arabic"/>
          <w:sz w:val="24"/>
          <w:szCs w:val="24"/>
        </w:rPr>
        <w:t xml:space="preserve"> 12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هذا</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المقرر</w:t>
      </w:r>
      <w:proofErr w:type="spellEnd"/>
      <w:r w:rsidRPr="00DE0F03">
        <w:rPr>
          <w:rFonts w:ascii="Simplified Arabic" w:hAnsi="Simplified Arabic" w:cs="Simplified Arabic"/>
          <w:sz w:val="24"/>
          <w:szCs w:val="24"/>
        </w:rPr>
        <w:t>؛</w:t>
      </w:r>
      <w:proofErr w:type="gramEnd"/>
    </w:p>
    <w:p w14:paraId="1E180762"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يشدد</w:t>
      </w:r>
      <w:r w:rsidRPr="00DE0F03">
        <w:rPr>
          <w:rFonts w:ascii="Simplified Arabic" w:eastAsia="Times New Roman" w:hAnsi="Simplified Arabic" w:cs="Simplified Arabic"/>
          <w:sz w:val="24"/>
          <w:szCs w:val="24"/>
          <w:rtl/>
          <w:lang w:val="en-GB"/>
        </w:rPr>
        <w:t xml:space="preserve"> على الدور الرئيسي للمراكز الإقليمية، على النحو المبين في أحكام اتفاقية بازل واتفاقية استكهولم، فضلاً عن المكاتب الإقليمية ودون الإقليمية والقطرية لمنظمة الأغذية والزراعة للأمم المتحدة وبرنامج الأمم المتحدة للبيئة والمنظمات الأخرى المشاركة في البرنامج المشترك بين المنظمات للإدارة السليمة للمواد الكيميائية، في تقديم المساعدة التقنية عند الطلب، خصوصاً على الصعيد الإقليمي في إطار اتفاقية بازل، واتفاقية روتردام واتفاقية استكهولم وتوفير بناء القدرات فضلاً عن تيسير نقل التكنولوجيا إلى الأطراف المستحقة؛ </w:t>
      </w:r>
    </w:p>
    <w:p w14:paraId="1ADFF041"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w w:val="104"/>
          <w:sz w:val="24"/>
          <w:szCs w:val="24"/>
          <w:lang w:val="en-GB"/>
        </w:rPr>
      </w:pPr>
      <w:r w:rsidRPr="00DE0F03">
        <w:rPr>
          <w:rFonts w:ascii="Simplified Arabic" w:eastAsia="Times New Roman" w:hAnsi="Simplified Arabic" w:cs="Simplified Arabic"/>
          <w:i/>
          <w:iCs/>
          <w:w w:val="104"/>
          <w:sz w:val="24"/>
          <w:szCs w:val="24"/>
          <w:rtl/>
          <w:lang w:val="en-GB"/>
        </w:rPr>
        <w:t>يطلب</w:t>
      </w:r>
      <w:r w:rsidRPr="00DE0F03">
        <w:rPr>
          <w:rFonts w:ascii="Simplified Arabic" w:eastAsia="Times New Roman" w:hAnsi="Simplified Arabic" w:cs="Simplified Arabic"/>
          <w:w w:val="104"/>
          <w:sz w:val="24"/>
          <w:szCs w:val="24"/>
          <w:rtl/>
          <w:lang w:val="en-GB"/>
        </w:rPr>
        <w:t xml:space="preserve"> إلى الأمانة أن تقدم تقريراً عن تنفيذ هذا المقرر إلى مؤتمر الأطراف في اجتماعه السادس عشر.</w:t>
      </w:r>
    </w:p>
    <w:p w14:paraId="1C10A331" w14:textId="77777777" w:rsidR="00E97EB4" w:rsidRPr="00DE0F03" w:rsidRDefault="00E97EB4" w:rsidP="00E97EB4">
      <w:pPr>
        <w:tabs>
          <w:tab w:val="left" w:pos="2556"/>
        </w:tabs>
        <w:spacing w:before="24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ثانياً</w:t>
      </w:r>
    </w:p>
    <w:p w14:paraId="45513D68" w14:textId="77777777" w:rsidR="00E97EB4" w:rsidRPr="00DE0F03" w:rsidRDefault="00E97EB4" w:rsidP="00E97EB4">
      <w:pPr>
        <w:tabs>
          <w:tab w:val="left" w:pos="2556"/>
        </w:tabs>
        <w:spacing w:before="120" w:after="120" w:line="360" w:lineRule="exact"/>
        <w:ind w:left="1134"/>
        <w:jc w:val="center"/>
        <w:textDirection w:val="tbRlV"/>
        <w:rPr>
          <w:rFonts w:ascii="Simplified Arabic" w:hAnsi="Simplified Arabic"/>
          <w:b/>
          <w:bCs/>
          <w:sz w:val="26"/>
          <w:szCs w:val="26"/>
          <w:lang w:val="en-GB"/>
        </w:rPr>
      </w:pPr>
      <w:r w:rsidRPr="00DE0F03">
        <w:rPr>
          <w:rFonts w:ascii="Simplified Arabic" w:hAnsi="Simplified Arabic"/>
          <w:b/>
          <w:bCs/>
          <w:sz w:val="26"/>
          <w:szCs w:val="26"/>
          <w:rtl/>
          <w:lang w:val="en-GB"/>
        </w:rPr>
        <w:t>المراكز الإقليمية والتنسيقية التابعة لاتفاقية بازل</w:t>
      </w:r>
    </w:p>
    <w:p w14:paraId="58AD97DF"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يشدد</w:t>
      </w:r>
      <w:r w:rsidRPr="00DE0F03">
        <w:rPr>
          <w:rFonts w:ascii="Simplified Arabic" w:eastAsia="Times New Roman" w:hAnsi="Simplified Arabic" w:cs="Simplified Arabic"/>
          <w:sz w:val="24"/>
          <w:szCs w:val="24"/>
          <w:rtl/>
          <w:lang w:val="en-GB"/>
        </w:rPr>
        <w:t xml:space="preserve"> على دور المراكز الإقليمية والتنسيقية التابعة لاتفاقية بازل في تعزيز تقديم المساعدة التقنية لبناء القدرات من أجل دعم الجهود الوطنية للبلدان النامية والبلدان التي تمر اقتصاداتها بمرحلة انتقالية لتنفيذ الاتفاقيات المتعلقة بالمواد الكيميائية والنفايات، وفقاً لوظائفها الأساسية؛</w:t>
      </w:r>
    </w:p>
    <w:p w14:paraId="16A81EBB"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يشدد أيضاً</w:t>
      </w:r>
      <w:r w:rsidRPr="00DE0F03">
        <w:rPr>
          <w:rFonts w:ascii="Simplified Arabic" w:eastAsia="Times New Roman" w:hAnsi="Simplified Arabic" w:cs="Simplified Arabic"/>
          <w:sz w:val="24"/>
          <w:szCs w:val="24"/>
          <w:rtl/>
          <w:lang w:val="en-GB"/>
        </w:rPr>
        <w:t xml:space="preserve"> على دور المراكز الإقليمية والتنسيقية التابعة لاتفاقية بازل في تعزيز نقل التكنولوجيا فيما يتعلق بتنفيذ اتفاقية بازل، ويدعوها إلى التعاون والتنسيق فيما بينها ومع الشركاء ذوي الصلة في مجالات الخبرة التي تستطيع فيها تقديم المساعدة؛</w:t>
      </w:r>
    </w:p>
    <w:p w14:paraId="4AAFA1CF"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يحيط</w:t>
      </w:r>
      <w:r w:rsidRPr="00DE0F03">
        <w:rPr>
          <w:rFonts w:ascii="Simplified Arabic" w:eastAsia="Times New Roman" w:hAnsi="Simplified Arabic" w:cs="Simplified Arabic"/>
          <w:sz w:val="24"/>
          <w:szCs w:val="24"/>
          <w:rtl/>
          <w:lang w:val="en-GB"/>
        </w:rPr>
        <w:t xml:space="preserve"> </w:t>
      </w:r>
      <w:r w:rsidRPr="004F60BE">
        <w:rPr>
          <w:rFonts w:ascii="Simplified Arabic" w:eastAsia="Times New Roman" w:hAnsi="Simplified Arabic" w:cs="Simplified Arabic"/>
          <w:i/>
          <w:iCs/>
          <w:sz w:val="24"/>
          <w:szCs w:val="24"/>
          <w:rtl/>
          <w:lang w:val="en-GB"/>
        </w:rPr>
        <w:t>علماً</w:t>
      </w:r>
      <w:r w:rsidRPr="00DE0F03">
        <w:rPr>
          <w:rFonts w:ascii="Simplified Arabic" w:eastAsia="Times New Roman" w:hAnsi="Simplified Arabic" w:cs="Simplified Arabic"/>
          <w:sz w:val="24"/>
          <w:szCs w:val="24"/>
          <w:rtl/>
          <w:lang w:val="en-GB"/>
        </w:rPr>
        <w:t xml:space="preserve"> بما يلي:</w:t>
      </w:r>
    </w:p>
    <w:p w14:paraId="4EDF4CAD" w14:textId="77777777" w:rsidR="00E97EB4" w:rsidRPr="00DE0F03" w:rsidRDefault="00E97EB4" w:rsidP="00E97EB4">
      <w:pPr>
        <w:pStyle w:val="ListParagraph"/>
        <w:numPr>
          <w:ilvl w:val="0"/>
          <w:numId w:val="11"/>
        </w:numPr>
        <w:tabs>
          <w:tab w:val="left" w:pos="2552"/>
        </w:tabs>
        <w:bidi/>
        <w:spacing w:after="120" w:line="360" w:lineRule="exact"/>
        <w:ind w:left="1134" w:firstLine="709"/>
        <w:contextualSpacing w:val="0"/>
        <w:jc w:val="both"/>
        <w:textDirection w:val="tbRlV"/>
        <w:rPr>
          <w:rFonts w:ascii="Simplified Arabic" w:hAnsi="Simplified Arabic" w:cs="Simplified Arabic"/>
          <w:iCs/>
          <w:sz w:val="24"/>
          <w:szCs w:val="24"/>
          <w:lang w:val="ar-SA" w:eastAsia="zh-TW" w:bidi="en-GB"/>
        </w:rPr>
      </w:pPr>
      <w:r w:rsidRPr="00DE0F03">
        <w:rPr>
          <w:rFonts w:ascii="Simplified Arabic" w:hAnsi="Simplified Arabic" w:cs="Simplified Arabic" w:hint="cs"/>
          <w:sz w:val="24"/>
          <w:szCs w:val="24"/>
          <w:rtl/>
        </w:rPr>
        <w:lastRenderedPageBreak/>
        <w:t>تقارير الأنشطة</w:t>
      </w:r>
      <w:r w:rsidRPr="00DE0F03">
        <w:rPr>
          <w:rFonts w:ascii="Simplified Arabic" w:hAnsi="Simplified Arabic" w:cs="Simplified Arabic" w:hint="cs"/>
          <w:sz w:val="24"/>
          <w:szCs w:val="24"/>
          <w:vertAlign w:val="superscript"/>
          <w:rtl/>
        </w:rPr>
        <w:t>(</w:t>
      </w:r>
      <w:r w:rsidRPr="00DE0F03">
        <w:rPr>
          <w:rStyle w:val="FootnoteReference"/>
          <w:rFonts w:ascii="Simplified Arabic" w:hAnsi="Simplified Arabic" w:cs="Simplified Arabic"/>
          <w:sz w:val="24"/>
          <w:szCs w:val="24"/>
          <w:rtl/>
        </w:rPr>
        <w:footnoteReference w:id="6"/>
      </w:r>
      <w:r w:rsidRPr="00DE0F03">
        <w:rPr>
          <w:rFonts w:ascii="Simplified Arabic" w:hAnsi="Simplified Arabic" w:cs="Simplified Arabic" w:hint="cs"/>
          <w:sz w:val="24"/>
          <w:szCs w:val="24"/>
          <w:vertAlign w:val="superscript"/>
          <w:rtl/>
        </w:rPr>
        <w:t xml:space="preserve">) </w:t>
      </w:r>
      <w:r w:rsidRPr="00DE0F03">
        <w:rPr>
          <w:rFonts w:ascii="Simplified Arabic" w:hAnsi="Simplified Arabic" w:cs="Simplified Arabic" w:hint="cs"/>
          <w:sz w:val="24"/>
          <w:szCs w:val="24"/>
          <w:rtl/>
        </w:rPr>
        <w:t>للفترة كانون الثاني/يناير 2019-كانون الأول/ديسمبر 2020 التي قدمتها المراكز الإقليمية والتنسيقية التابعة لاتفاقية بازل وخطط الأعمال المتاحة</w:t>
      </w:r>
      <w:r w:rsidRPr="00DE0F03">
        <w:rPr>
          <w:rFonts w:ascii="Simplified Arabic" w:hAnsi="Simplified Arabic" w:cs="Simplified Arabic" w:hint="cs"/>
          <w:sz w:val="24"/>
          <w:szCs w:val="24"/>
          <w:vertAlign w:val="superscript"/>
          <w:rtl/>
        </w:rPr>
        <w:t>(</w:t>
      </w:r>
      <w:r w:rsidRPr="00DE0F03">
        <w:rPr>
          <w:rStyle w:val="FootnoteReference"/>
          <w:rFonts w:ascii="Simplified Arabic" w:hAnsi="Simplified Arabic" w:cs="Simplified Arabic"/>
          <w:sz w:val="24"/>
          <w:szCs w:val="24"/>
          <w:rtl/>
        </w:rPr>
        <w:footnoteReference w:id="7"/>
      </w:r>
      <w:r w:rsidRPr="00DE0F03">
        <w:rPr>
          <w:rFonts w:ascii="Simplified Arabic" w:hAnsi="Simplified Arabic" w:cs="Simplified Arabic" w:hint="cs"/>
          <w:sz w:val="24"/>
          <w:szCs w:val="24"/>
          <w:vertAlign w:val="superscript"/>
          <w:rtl/>
        </w:rPr>
        <w:t xml:space="preserve">) </w:t>
      </w:r>
      <w:r w:rsidRPr="00DE0F03">
        <w:rPr>
          <w:rFonts w:ascii="Simplified Arabic" w:hAnsi="Simplified Arabic" w:cs="Simplified Arabic" w:hint="cs"/>
          <w:sz w:val="24"/>
          <w:szCs w:val="24"/>
          <w:rtl/>
        </w:rPr>
        <w:t>للفترة كانون الثاني/يناير 2020-كانون الأول/ديسمبر 2023؛</w:t>
      </w:r>
    </w:p>
    <w:p w14:paraId="678D77D0" w14:textId="77777777" w:rsidR="00E97EB4" w:rsidRPr="00DE0F03" w:rsidRDefault="00E97EB4" w:rsidP="00E97EB4">
      <w:pPr>
        <w:pStyle w:val="ListParagraph"/>
        <w:numPr>
          <w:ilvl w:val="0"/>
          <w:numId w:val="11"/>
        </w:numPr>
        <w:tabs>
          <w:tab w:val="left" w:pos="2552"/>
        </w:tabs>
        <w:bidi/>
        <w:spacing w:after="120" w:line="360" w:lineRule="exact"/>
        <w:ind w:left="1134" w:firstLine="709"/>
        <w:contextualSpacing w:val="0"/>
        <w:jc w:val="both"/>
        <w:textDirection w:val="tbRlV"/>
        <w:rPr>
          <w:rFonts w:ascii="Simplified Arabic" w:hAnsi="Simplified Arabic" w:cs="Simplified Arabic"/>
          <w:iCs/>
          <w:sz w:val="24"/>
          <w:szCs w:val="24"/>
          <w:lang w:val="ar-SA" w:eastAsia="zh-TW" w:bidi="en-GB"/>
        </w:rPr>
      </w:pPr>
      <w:r w:rsidRPr="00DE0F03">
        <w:rPr>
          <w:rFonts w:ascii="Simplified Arabic" w:hAnsi="Simplified Arabic" w:cs="Simplified Arabic" w:hint="cs"/>
          <w:sz w:val="24"/>
          <w:szCs w:val="24"/>
          <w:rtl/>
        </w:rPr>
        <w:t>التقرير عن أنشطة المراكز الإقليمية لاتفاقيتي بازل واستكهولم</w:t>
      </w:r>
      <w:bookmarkStart w:id="3" w:name="_Hlk528246183"/>
      <w:r w:rsidRPr="00DE0F03">
        <w:rPr>
          <w:rFonts w:ascii="Simplified Arabic" w:hAnsi="Simplified Arabic" w:cs="Simplified Arabic" w:hint="cs"/>
          <w:sz w:val="24"/>
          <w:szCs w:val="24"/>
          <w:vertAlign w:val="superscript"/>
          <w:rtl/>
        </w:rPr>
        <w:t>(</w:t>
      </w:r>
      <w:r w:rsidRPr="00DE0F03">
        <w:rPr>
          <w:rStyle w:val="FootnoteReference"/>
          <w:rFonts w:ascii="Simplified Arabic" w:hAnsi="Simplified Arabic" w:cs="Simplified Arabic"/>
          <w:sz w:val="24"/>
          <w:szCs w:val="24"/>
          <w:rtl/>
        </w:rPr>
        <w:footnoteReference w:id="8"/>
      </w:r>
      <w:r w:rsidRPr="00DE0F03">
        <w:rPr>
          <w:rFonts w:ascii="Simplified Arabic" w:hAnsi="Simplified Arabic" w:cs="Simplified Arabic" w:hint="cs"/>
          <w:sz w:val="24"/>
          <w:szCs w:val="24"/>
          <w:vertAlign w:val="superscript"/>
          <w:rtl/>
        </w:rPr>
        <w:t>)</w:t>
      </w:r>
      <w:r w:rsidRPr="00DE0F03">
        <w:rPr>
          <w:rFonts w:ascii="Simplified Arabic" w:eastAsia="Times New Roman" w:hAnsi="Simplified Arabic" w:cs="Simplified Arabic" w:hint="cs"/>
          <w:sz w:val="24"/>
          <w:szCs w:val="24"/>
          <w:rtl/>
          <w:lang w:val="en-GB"/>
        </w:rPr>
        <w:t>؛</w:t>
      </w:r>
    </w:p>
    <w:bookmarkEnd w:id="3"/>
    <w:p w14:paraId="393A6724"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المراكز الإقليمية والتنسيقية التابعة لاتفاقية بازل أن تقدم إلى الأمانة ما يلي:</w:t>
      </w:r>
    </w:p>
    <w:p w14:paraId="10939E3B" w14:textId="77777777" w:rsidR="00E97EB4" w:rsidRPr="00DE0F03" w:rsidRDefault="00E97EB4" w:rsidP="00E97EB4">
      <w:pPr>
        <w:pStyle w:val="ListParagraph"/>
        <w:numPr>
          <w:ilvl w:val="0"/>
          <w:numId w:val="12"/>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تقارير عن أنشطتها للفترة 1 كانون الثان/يناير 2021-31 كانون الأول/ديسمبر 2022، وذلك بحلول 31 كانون الأول/ديسمبر 2022، لكي ينظر فيها مؤتمر الأطراف في اجتماعه السادس عشر؛</w:t>
      </w:r>
    </w:p>
    <w:p w14:paraId="0A2A0239" w14:textId="77777777" w:rsidR="00E97EB4" w:rsidRPr="00DE0F03" w:rsidRDefault="00E97EB4" w:rsidP="00E97EB4">
      <w:pPr>
        <w:pStyle w:val="ListParagraph"/>
        <w:numPr>
          <w:ilvl w:val="0"/>
          <w:numId w:val="12"/>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خطط أعمالها للفترة 1 كانون الثاني/يناير 2024-31 كانون الأول/ديسمبر 2027، وذلك بحلول 30 أيلول/سبتمبر 2023، لكي ينظر فيها مؤتمر الأطراف في اجتماعه السابع عشر؛</w:t>
      </w:r>
    </w:p>
    <w:p w14:paraId="08A3EE72"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يطلب</w:t>
      </w:r>
      <w:r w:rsidRPr="00DE0F03">
        <w:rPr>
          <w:rFonts w:ascii="Simplified Arabic" w:eastAsia="Times New Roman" w:hAnsi="Simplified Arabic" w:cs="Simplified Arabic"/>
          <w:sz w:val="24"/>
          <w:szCs w:val="24"/>
          <w:rtl/>
          <w:lang w:val="en-GB"/>
        </w:rPr>
        <w:t xml:space="preserve"> إلى الأمانة</w:t>
      </w:r>
      <w:r w:rsidRPr="00DE0F03">
        <w:rPr>
          <w:rFonts w:ascii="Simplified Arabic" w:eastAsia="Times New Roman" w:hAnsi="Simplified Arabic" w:cs="Simplified Arabic"/>
          <w:sz w:val="24"/>
          <w:szCs w:val="24"/>
          <w:lang w:val="en-GB"/>
        </w:rPr>
        <w:t>:</w:t>
      </w:r>
    </w:p>
    <w:p w14:paraId="13FF4590" w14:textId="77777777" w:rsidR="00E97EB4" w:rsidRPr="00DE0F03" w:rsidRDefault="00E97EB4" w:rsidP="00E97EB4">
      <w:pPr>
        <w:pStyle w:val="ListParagraph"/>
        <w:numPr>
          <w:ilvl w:val="0"/>
          <w:numId w:val="13"/>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rPr>
      </w:pPr>
      <w:r w:rsidRPr="00DE0F03">
        <w:rPr>
          <w:rFonts w:ascii="Simplified Arabic" w:hAnsi="Simplified Arabic" w:cs="Simplified Arabic" w:hint="cs"/>
          <w:szCs w:val="24"/>
          <w:rtl/>
        </w:rPr>
        <w:t>أن تعد تقريراً عن أنشطة المراكز الإقليمية والتنسيقية التابعة لاتفاقية بازل لكي ينظر فيه مؤتمر الأطراف في اجتماعه السادس عشر؛</w:t>
      </w:r>
      <w:bookmarkStart w:id="4" w:name="_Hlk65843060"/>
    </w:p>
    <w:p w14:paraId="431C56FD" w14:textId="77777777" w:rsidR="00E97EB4" w:rsidRPr="00DE0F03" w:rsidRDefault="00E97EB4" w:rsidP="00E97EB4">
      <w:pPr>
        <w:pStyle w:val="ListParagraph"/>
        <w:numPr>
          <w:ilvl w:val="0"/>
          <w:numId w:val="13"/>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أن تعد مشاريع تقارير تقييم بشأن أداء واستدامة جميع المراكز الإقليمية والتنسيقية التابعة لاتفاقية بازل البالغة 14 مركزاً، وذلك وفقاً للمعايير المؤقتة والمنهجية المؤقتة على النحو الوارد في المرفقين الأول والثاني للمقرر ا ب-11/13، لكي ينظر فيها مؤتمر الأطراف في اجتماعه السادس عشر؛</w:t>
      </w:r>
      <w:bookmarkEnd w:id="4"/>
    </w:p>
    <w:p w14:paraId="31421229" w14:textId="77777777" w:rsidR="00E97EB4" w:rsidRPr="00DE0F03" w:rsidRDefault="00E97EB4" w:rsidP="00E97EB4">
      <w:pPr>
        <w:pStyle w:val="ListParagraph"/>
        <w:numPr>
          <w:ilvl w:val="0"/>
          <w:numId w:val="13"/>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ar-SA" w:eastAsia="zh-TW" w:bidi="en-GB"/>
        </w:rPr>
      </w:pPr>
      <w:r w:rsidRPr="00DE0F03">
        <w:rPr>
          <w:rFonts w:ascii="Simplified Arabic" w:hAnsi="Simplified Arabic" w:cs="Simplified Arabic" w:hint="cs"/>
          <w:szCs w:val="24"/>
          <w:rtl/>
        </w:rPr>
        <w:t>أن تضطلع بالأنشطة التالية، رهناً بتوافر الموارد، من أجل تيسير عمل المراكز الإقليمية:</w:t>
      </w:r>
    </w:p>
    <w:p w14:paraId="4EBF7819" w14:textId="77777777" w:rsidR="00E97EB4" w:rsidRPr="00DE0F03" w:rsidRDefault="00E97EB4" w:rsidP="00E97EB4">
      <w:pPr>
        <w:tabs>
          <w:tab w:val="left" w:pos="3260"/>
        </w:tabs>
        <w:spacing w:after="120" w:line="360" w:lineRule="exact"/>
        <w:ind w:left="3261" w:hanging="709"/>
        <w:jc w:val="both"/>
        <w:textDirection w:val="tbRlV"/>
        <w:rPr>
          <w:rFonts w:ascii="Simplified Arabic" w:hAnsi="Simplified Arabic"/>
          <w:iCs/>
          <w:szCs w:val="24"/>
          <w:lang w:val="ar-SA" w:eastAsia="zh-TW" w:bidi="en-GB"/>
        </w:rPr>
      </w:pPr>
      <w:r w:rsidRPr="00DE0F03">
        <w:rPr>
          <w:rFonts w:ascii="Simplified Arabic" w:hAnsi="Simplified Arabic" w:hint="cs"/>
          <w:szCs w:val="24"/>
          <w:rtl/>
        </w:rPr>
        <w:t>’1‘</w:t>
      </w:r>
      <w:r w:rsidRPr="00DE0F03">
        <w:rPr>
          <w:rFonts w:ascii="Simplified Arabic" w:hAnsi="Simplified Arabic"/>
          <w:szCs w:val="24"/>
          <w:rtl/>
        </w:rPr>
        <w:tab/>
        <w:t>تنظيم اجتماعين سنويين لمنسقي المراكز الإقليمية لاتفاقية استكهولم في إطار اتفاقية استكهولم بشأن الملوثات العضوية الثابتة ومديري المراكز الإقليمية لاتفاقية بازل في إطار اتفاقية بازل بشأن التحكم في نقل النفايات الخطرة والتخلص منها عبر الحدود، وذلك بهدف تعزيز أداء المراكز الإقليمية وتشجيع التعاون والعمل المشترك فيما بينها، وحضور اجتماعات اللجان التوجيهية للمراكز الإقليمية؛</w:t>
      </w:r>
      <w:bookmarkStart w:id="5" w:name="_Hlk65843220"/>
      <w:bookmarkEnd w:id="5"/>
    </w:p>
    <w:p w14:paraId="226F42AE" w14:textId="77777777" w:rsidR="00E97EB4" w:rsidRPr="00DE0F03" w:rsidRDefault="00E97EB4" w:rsidP="00E97EB4">
      <w:pPr>
        <w:tabs>
          <w:tab w:val="left" w:pos="3260"/>
        </w:tabs>
        <w:spacing w:after="120" w:line="360" w:lineRule="exact"/>
        <w:ind w:left="3261" w:hanging="709"/>
        <w:jc w:val="both"/>
        <w:textDirection w:val="tbRlV"/>
        <w:rPr>
          <w:rFonts w:ascii="Simplified Arabic" w:hAnsi="Simplified Arabic"/>
          <w:iCs/>
          <w:szCs w:val="24"/>
          <w:lang w:val="ar-SA" w:eastAsia="zh-TW" w:bidi="en-GB"/>
        </w:rPr>
      </w:pPr>
      <w:r w:rsidRPr="00DE0F03">
        <w:rPr>
          <w:rFonts w:ascii="Simplified Arabic" w:hAnsi="Simplified Arabic" w:hint="cs"/>
          <w:szCs w:val="24"/>
          <w:rtl/>
        </w:rPr>
        <w:t>’2‘</w:t>
      </w:r>
      <w:r w:rsidRPr="00DE0F03">
        <w:rPr>
          <w:rFonts w:ascii="Simplified Arabic" w:hAnsi="Simplified Arabic"/>
          <w:szCs w:val="24"/>
          <w:rtl/>
        </w:rPr>
        <w:tab/>
        <w:t>مواصلة تيسير تنفيذ المشاريع الوطنية ودون الإقليمية والإقليمية على أساس خطط الأعمال أو خطط العمل للمراكز الإقليمية عن طريق برنامج المنح الصغيرة؛</w:t>
      </w:r>
    </w:p>
    <w:p w14:paraId="215DE0C2" w14:textId="77777777" w:rsidR="00E97EB4" w:rsidRPr="00DE0F03" w:rsidRDefault="00E97EB4" w:rsidP="00E97EB4">
      <w:pPr>
        <w:tabs>
          <w:tab w:val="left" w:pos="3260"/>
        </w:tabs>
        <w:spacing w:after="120" w:line="360" w:lineRule="exact"/>
        <w:ind w:left="3261" w:hanging="709"/>
        <w:jc w:val="both"/>
        <w:textDirection w:val="tbRlV"/>
        <w:rPr>
          <w:rFonts w:ascii="Simplified Arabic" w:hAnsi="Simplified Arabic"/>
          <w:iCs/>
          <w:szCs w:val="24"/>
          <w:lang w:val="ar-SA" w:eastAsia="zh-TW" w:bidi="en-GB"/>
        </w:rPr>
      </w:pPr>
      <w:r w:rsidRPr="00DE0F03">
        <w:rPr>
          <w:rFonts w:ascii="Simplified Arabic" w:hAnsi="Simplified Arabic" w:hint="cs"/>
          <w:szCs w:val="24"/>
          <w:rtl/>
        </w:rPr>
        <w:t>’3‘</w:t>
      </w:r>
      <w:r w:rsidRPr="00DE0F03">
        <w:rPr>
          <w:rFonts w:ascii="Simplified Arabic" w:hAnsi="Simplified Arabic"/>
          <w:szCs w:val="24"/>
          <w:rtl/>
        </w:rPr>
        <w:tab/>
        <w:t>تعزيز أنشطة المراكز الإقليمية لزيادة بروز صورتها ودعمها في الوفاء بولايتها؛</w:t>
      </w:r>
    </w:p>
    <w:p w14:paraId="29843A42"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t>يرحب</w:t>
      </w:r>
      <w:r w:rsidRPr="00DE0F03">
        <w:rPr>
          <w:rFonts w:ascii="Simplified Arabic" w:eastAsia="Times New Roman" w:hAnsi="Simplified Arabic" w:cs="Simplified Arabic"/>
          <w:sz w:val="24"/>
          <w:szCs w:val="24"/>
          <w:rtl/>
          <w:lang w:val="en-GB"/>
        </w:rPr>
        <w:t xml:space="preserve"> بتوقيع اتفاق إطاري بين الأمانة وحكومة بنما لإنشاء المركز الإقليمي لاتفاقية بازل لمنطقة أمريكا الوسطى والمكسيك دون الإقليمية في بنما؛ </w:t>
      </w:r>
    </w:p>
    <w:p w14:paraId="50BBD044" w14:textId="77777777" w:rsidR="00E97EB4" w:rsidRPr="00DE0F03" w:rsidRDefault="00E97EB4" w:rsidP="00E97EB4">
      <w:pPr>
        <w:pStyle w:val="ListParagraph"/>
        <w:numPr>
          <w:ilvl w:val="0"/>
          <w:numId w:val="9"/>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 w:val="24"/>
          <w:szCs w:val="24"/>
          <w:lang w:val="en-GB"/>
        </w:rPr>
      </w:pPr>
      <w:r w:rsidRPr="00DE0F03">
        <w:rPr>
          <w:rFonts w:ascii="Simplified Arabic" w:eastAsia="Times New Roman" w:hAnsi="Simplified Arabic" w:cs="Simplified Arabic"/>
          <w:i/>
          <w:iCs/>
          <w:sz w:val="24"/>
          <w:szCs w:val="24"/>
          <w:rtl/>
          <w:lang w:val="en-GB"/>
        </w:rPr>
        <w:lastRenderedPageBreak/>
        <w:t>يدعو</w:t>
      </w:r>
      <w:r w:rsidRPr="00DE0F03">
        <w:rPr>
          <w:rFonts w:ascii="Simplified Arabic" w:eastAsia="Times New Roman" w:hAnsi="Simplified Arabic" w:cs="Simplified Arabic"/>
          <w:sz w:val="24"/>
          <w:szCs w:val="24"/>
          <w:rtl/>
          <w:lang w:val="en-GB"/>
        </w:rPr>
        <w:t xml:space="preserve"> الأطراف والمراقبين والمؤسسات الأخرى القادرة إلى توفير الدعم المالي لتمكين المراكز الإقليمية والتنسيقية التابعة لاتفاقية بازل من تنفيذ خطط عملها بهدف دعم الأطراف في مساعيها لتنفيذ التزاماتها في إطار الاتفاقية.</w:t>
      </w:r>
    </w:p>
    <w:p w14:paraId="59870BA7" w14:textId="4DB0CB5A" w:rsidR="00F935A6" w:rsidRPr="005F064A" w:rsidRDefault="00F935A6" w:rsidP="00E97EB4">
      <w:pPr>
        <w:rPr>
          <w:rFonts w:ascii="Simplified Arabic" w:hAnsi="Simplified Arabic"/>
          <w:szCs w:val="24"/>
          <w:lang w:val="en-GB"/>
        </w:rPr>
      </w:pPr>
    </w:p>
    <w:sectPr w:rsidR="00F935A6" w:rsidRPr="005F064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737A5" w14:textId="77777777" w:rsidR="00317219" w:rsidRDefault="00317219" w:rsidP="00BD27C1">
      <w:r>
        <w:separator/>
      </w:r>
    </w:p>
  </w:endnote>
  <w:endnote w:type="continuationSeparator" w:id="0">
    <w:p w14:paraId="49629A6F" w14:textId="77777777" w:rsidR="00317219" w:rsidRDefault="00317219"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1502F" w14:textId="77777777" w:rsidR="00317219" w:rsidRDefault="00317219" w:rsidP="00BD27C1">
      <w:r>
        <w:separator/>
      </w:r>
    </w:p>
  </w:footnote>
  <w:footnote w:type="continuationSeparator" w:id="0">
    <w:p w14:paraId="61C9E206" w14:textId="77777777" w:rsidR="00317219" w:rsidRDefault="00317219" w:rsidP="00BD27C1">
      <w:r>
        <w:continuationSeparator/>
      </w:r>
    </w:p>
  </w:footnote>
  <w:footnote w:id="1">
    <w:p w14:paraId="194D8051"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UNEP/CHW.15/INF/30–UNEP/FAO/RC/COP.10/INF/18–UNEP/POPS/COP.10/INF/30</w:t>
      </w:r>
      <w:r w:rsidRPr="00A32BDD">
        <w:rPr>
          <w:rFonts w:ascii="Simplified Arabic" w:hAnsi="Simplified Arabic" w:hint="cs"/>
          <w:rtl/>
        </w:rPr>
        <w:t>.</w:t>
      </w:r>
    </w:p>
  </w:footnote>
  <w:footnote w:id="2">
    <w:p w14:paraId="4D4073E6"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1" w:history="1">
        <w:r w:rsidRPr="00A32BDD">
          <w:rPr>
            <w:rStyle w:val="Hyperlink"/>
            <w:rFonts w:asciiTheme="majorBidi" w:hAnsiTheme="majorBidi" w:cstheme="majorBidi"/>
            <w:sz w:val="18"/>
            <w:szCs w:val="18"/>
          </w:rPr>
          <w:t>www.brsmeas.org/tabid/4898</w:t>
        </w:r>
      </w:hyperlink>
      <w:r w:rsidRPr="00A32BDD">
        <w:rPr>
          <w:rFonts w:ascii="Simplified Arabic" w:hAnsi="Simplified Arabic" w:hint="cs"/>
          <w:rtl/>
        </w:rPr>
        <w:t>.</w:t>
      </w:r>
    </w:p>
  </w:footnote>
  <w:footnote w:id="3">
    <w:p w14:paraId="3CAB1B8B"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UNEP/CHW.15/INF/28–UNEP/FAO/RC/COP.10/INF/16–UNEP/POPS/COP.10/INF/28</w:t>
      </w:r>
      <w:r w:rsidRPr="00A32BDD">
        <w:rPr>
          <w:rFonts w:ascii="Simplified Arabic" w:hAnsi="Simplified Arabic" w:hint="cs"/>
          <w:rtl/>
        </w:rPr>
        <w:t>.</w:t>
      </w:r>
    </w:p>
  </w:footnote>
  <w:footnote w:id="4">
    <w:p w14:paraId="0B4C66EF"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UNEP/CHW.15/INF/29–UNEP/FAO/RC/COP.10/INF/17–UNEP/POPS/COP.10/INF/29</w:t>
      </w:r>
      <w:r w:rsidRPr="00A32BDD">
        <w:rPr>
          <w:rFonts w:ascii="Simplified Arabic" w:hAnsi="Simplified Arabic" w:hint="cs"/>
          <w:rtl/>
        </w:rPr>
        <w:t>.</w:t>
      </w:r>
    </w:p>
    <w:bookmarkStart w:id="1" w:name="_Hlk64555445"/>
    <w:bookmarkEnd w:id="1"/>
  </w:footnote>
  <w:footnote w:id="5">
    <w:p w14:paraId="0D15A496" w14:textId="77777777" w:rsidR="00E97EB4" w:rsidRPr="00A32BDD" w:rsidRDefault="00E97EB4" w:rsidP="00E97EB4">
      <w:pPr>
        <w:pStyle w:val="FootnoteText"/>
        <w:spacing w:after="40" w:line="280" w:lineRule="exact"/>
        <w:ind w:left="1134"/>
        <w:jc w:val="both"/>
        <w:rPr>
          <w:rFonts w:ascii="Simplified Arabic" w:hAnsi="Simplified Arabic"/>
          <w:lang w:bidi="ar-EG"/>
        </w:rPr>
      </w:pPr>
      <w:bookmarkStart w:id="2" w:name="_Hlk64555445"/>
      <w:bookmarkEnd w:id="2"/>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UNEP/CHW.15/INF/31–UNEP/FAO/RC/COP.10/INF/19–UNEP/POPS/COP.10/INF/68</w:t>
      </w:r>
      <w:r w:rsidRPr="00A32BDD">
        <w:rPr>
          <w:rFonts w:ascii="Simplified Arabic" w:hAnsi="Simplified Arabic" w:hint="cs"/>
          <w:rtl/>
        </w:rPr>
        <w:t>.</w:t>
      </w:r>
    </w:p>
  </w:footnote>
  <w:footnote w:id="6">
    <w:p w14:paraId="1257C618"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2" w:history="1">
        <w:r w:rsidRPr="00A32BDD">
          <w:rPr>
            <w:rStyle w:val="Hyperlink"/>
            <w:rFonts w:asciiTheme="majorBidi" w:hAnsiTheme="majorBidi" w:cstheme="majorBidi"/>
            <w:sz w:val="18"/>
            <w:szCs w:val="18"/>
          </w:rPr>
          <w:t>www.basel.int/Partners/RegionalCentres/ActivityReports/tabid/2992/Default.aspx</w:t>
        </w:r>
      </w:hyperlink>
      <w:r w:rsidRPr="00A32BDD">
        <w:rPr>
          <w:rFonts w:ascii="Simplified Arabic" w:hAnsi="Simplified Arabic" w:hint="cs"/>
          <w:rtl/>
        </w:rPr>
        <w:t>.</w:t>
      </w:r>
    </w:p>
  </w:footnote>
  <w:footnote w:id="7">
    <w:p w14:paraId="4C5731A7"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hyperlink r:id="rId3" w:history="1">
        <w:r w:rsidRPr="00A32BDD">
          <w:rPr>
            <w:rStyle w:val="Hyperlink"/>
            <w:rFonts w:asciiTheme="majorBidi" w:hAnsiTheme="majorBidi" w:cstheme="majorBidi"/>
            <w:sz w:val="18"/>
            <w:szCs w:val="18"/>
          </w:rPr>
          <w:t>www.basel.int/Partners/RegionalCentres/BusinessPlans/tabid/2336/Default.aspx</w:t>
        </w:r>
      </w:hyperlink>
      <w:r w:rsidRPr="00A32BDD">
        <w:rPr>
          <w:rFonts w:ascii="Simplified Arabic" w:hAnsi="Simplified Arabic" w:hint="cs"/>
          <w:rtl/>
        </w:rPr>
        <w:t>.</w:t>
      </w:r>
    </w:p>
  </w:footnote>
  <w:footnote w:id="8">
    <w:p w14:paraId="4818B094" w14:textId="77777777" w:rsidR="00E97EB4" w:rsidRPr="00A32BDD" w:rsidRDefault="00E97EB4" w:rsidP="00E97EB4">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UNEP/CHW.15/INF/32–UNEP/POPS/COP.10/INF/31</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6DD554C"/>
    <w:multiLevelType w:val="hybridMultilevel"/>
    <w:tmpl w:val="754E9AA4"/>
    <w:lvl w:ilvl="0" w:tplc="0D421E36">
      <w:start w:val="1"/>
      <w:numFmt w:val="arabicAbjad"/>
      <w:lvlText w:val="(%1)"/>
      <w:lvlJc w:val="left"/>
      <w:pPr>
        <w:ind w:left="2231" w:hanging="360"/>
      </w:pPr>
      <w:rPr>
        <w:rFonts w:hint="default"/>
        <w:i/>
        <w:iCs w:val="0"/>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2" w15:restartNumberingAfterBreak="0">
    <w:nsid w:val="23634C6C"/>
    <w:multiLevelType w:val="hybridMultilevel"/>
    <w:tmpl w:val="2C72687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3"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4" w15:restartNumberingAfterBreak="0">
    <w:nsid w:val="32AB1901"/>
    <w:multiLevelType w:val="hybridMultilevel"/>
    <w:tmpl w:val="FFB20D4E"/>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38346107"/>
    <w:multiLevelType w:val="hybridMultilevel"/>
    <w:tmpl w:val="0C22EB08"/>
    <w:lvl w:ilvl="0" w:tplc="FFFFFFFF">
      <w:start w:val="1"/>
      <w:numFmt w:val="decimal"/>
      <w:lvlText w:val="%1."/>
      <w:lvlJc w:val="left"/>
      <w:pPr>
        <w:ind w:left="1346" w:hanging="360"/>
      </w:pPr>
    </w:lvl>
    <w:lvl w:ilvl="1" w:tplc="FFFFFFFF">
      <w:start w:val="1"/>
      <w:numFmt w:val="lowerLetter"/>
      <w:lvlText w:val="(%2)"/>
      <w:lvlJc w:val="left"/>
      <w:pPr>
        <w:ind w:left="2336" w:hanging="630"/>
      </w:pPr>
      <w:rPr>
        <w:rFonts w:hint="default"/>
      </w:rPr>
    </w:lvl>
    <w:lvl w:ilvl="2" w:tplc="C698289E">
      <w:start w:val="1"/>
      <w:numFmt w:val="arabicAbjad"/>
      <w:lvlText w:val="(%3)"/>
      <w:lvlJc w:val="left"/>
      <w:pPr>
        <w:ind w:left="3116" w:hanging="510"/>
      </w:pPr>
      <w:rPr>
        <w:rFonts w:hint="default"/>
        <w:color w:val="auto"/>
      </w:rPr>
    </w:lvl>
    <w:lvl w:ilvl="3" w:tplc="FFFFFFFF" w:tentative="1">
      <w:start w:val="1"/>
      <w:numFmt w:val="decimal"/>
      <w:lvlText w:val="%4."/>
      <w:lvlJc w:val="left"/>
      <w:pPr>
        <w:ind w:left="3506" w:hanging="360"/>
      </w:pPr>
    </w:lvl>
    <w:lvl w:ilvl="4" w:tplc="FFFFFFFF" w:tentative="1">
      <w:start w:val="1"/>
      <w:numFmt w:val="lowerLetter"/>
      <w:lvlText w:val="%5."/>
      <w:lvlJc w:val="left"/>
      <w:pPr>
        <w:ind w:left="4226" w:hanging="360"/>
      </w:pPr>
    </w:lvl>
    <w:lvl w:ilvl="5" w:tplc="FFFFFFFF" w:tentative="1">
      <w:start w:val="1"/>
      <w:numFmt w:val="lowerRoman"/>
      <w:lvlText w:val="%6."/>
      <w:lvlJc w:val="right"/>
      <w:pPr>
        <w:ind w:left="4946" w:hanging="180"/>
      </w:pPr>
    </w:lvl>
    <w:lvl w:ilvl="6" w:tplc="FFFFFFFF">
      <w:start w:val="1"/>
      <w:numFmt w:val="decimal"/>
      <w:lvlText w:val="%7-"/>
      <w:lvlJc w:val="left"/>
      <w:pPr>
        <w:ind w:left="5666" w:hanging="360"/>
      </w:pPr>
      <w:rPr>
        <w:rFonts w:ascii="Simplified Arabic" w:eastAsia="Times New Roman" w:hAnsi="Simplified Arabic" w:cs="Simplified Arabic"/>
      </w:rPr>
    </w:lvl>
    <w:lvl w:ilvl="7" w:tplc="FFFFFFFF" w:tentative="1">
      <w:start w:val="1"/>
      <w:numFmt w:val="lowerLetter"/>
      <w:lvlText w:val="%8."/>
      <w:lvlJc w:val="left"/>
      <w:pPr>
        <w:ind w:left="6386" w:hanging="360"/>
      </w:pPr>
    </w:lvl>
    <w:lvl w:ilvl="8" w:tplc="FFFFFFFF" w:tentative="1">
      <w:start w:val="1"/>
      <w:numFmt w:val="lowerRoman"/>
      <w:lvlText w:val="%9."/>
      <w:lvlJc w:val="right"/>
      <w:pPr>
        <w:ind w:left="7106" w:hanging="180"/>
      </w:pPr>
    </w:lvl>
  </w:abstractNum>
  <w:abstractNum w:abstractNumId="6"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9" w15:restartNumberingAfterBreak="0">
    <w:nsid w:val="55BF49BE"/>
    <w:multiLevelType w:val="hybridMultilevel"/>
    <w:tmpl w:val="6B086F1C"/>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0" w15:restartNumberingAfterBreak="0">
    <w:nsid w:val="64107D20"/>
    <w:multiLevelType w:val="hybridMultilevel"/>
    <w:tmpl w:val="68AAB884"/>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24344FE0">
      <w:start w:val="1"/>
      <w:numFmt w:val="arabicAlpha"/>
      <w:lvlText w:val="(%3)"/>
      <w:lvlJc w:val="left"/>
      <w:pPr>
        <w:ind w:left="3116" w:hanging="510"/>
      </w:pPr>
      <w:rPr>
        <w:rFonts w:hint="default"/>
        <w:color w:val="auto"/>
      </w:r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9F76E4E4">
      <w:start w:val="1"/>
      <w:numFmt w:val="decimal"/>
      <w:lvlText w:val="%7-"/>
      <w:lvlJc w:val="left"/>
      <w:pPr>
        <w:ind w:left="5666" w:hanging="360"/>
      </w:pPr>
      <w:rPr>
        <w:rFonts w:ascii="Simplified Arabic" w:eastAsia="Times New Roman" w:hAnsi="Simplified Arabic" w:cs="Simplified Arabic"/>
      </w:r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11"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5B024A"/>
    <w:multiLevelType w:val="hybridMultilevel"/>
    <w:tmpl w:val="97922A34"/>
    <w:lvl w:ilvl="0" w:tplc="84A4F8A4">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1763379925">
    <w:abstractNumId w:val="7"/>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6"/>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11"/>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3"/>
  </w:num>
  <w:num w:numId="5" w16cid:durableId="1504709065">
    <w:abstractNumId w:val="0"/>
  </w:num>
  <w:num w:numId="6" w16cid:durableId="94594890">
    <w:abstractNumId w:val="8"/>
  </w:num>
  <w:num w:numId="7" w16cid:durableId="1684743227">
    <w:abstractNumId w:val="10"/>
  </w:num>
  <w:num w:numId="8" w16cid:durableId="680473133">
    <w:abstractNumId w:val="9"/>
  </w:num>
  <w:num w:numId="9" w16cid:durableId="252859346">
    <w:abstractNumId w:val="12"/>
    <w:lvlOverride w:ilvl="0">
      <w:lvl w:ilvl="0" w:tplc="84A4F8A4">
        <w:start w:val="1"/>
        <w:numFmt w:val="decimal"/>
        <w:lvlText w:val="%1-"/>
        <w:lvlJc w:val="left"/>
        <w:pPr>
          <w:ind w:left="2591" w:hanging="360"/>
        </w:pPr>
        <w:rPr>
          <w:rFonts w:ascii="Simplified Arabic" w:eastAsia="Arial" w:hAnsi="Simplified Arabic" w:cs="Simplified Arabic"/>
          <w:i/>
          <w:iCs w:val="0"/>
          <w:lang w:bidi="ar-SA"/>
        </w:rPr>
      </w:lvl>
    </w:lvlOverride>
  </w:num>
  <w:num w:numId="10" w16cid:durableId="409810976">
    <w:abstractNumId w:val="5"/>
  </w:num>
  <w:num w:numId="11" w16cid:durableId="1907648110">
    <w:abstractNumId w:val="1"/>
  </w:num>
  <w:num w:numId="12" w16cid:durableId="1156456406">
    <w:abstractNumId w:val="2"/>
  </w:num>
  <w:num w:numId="13" w16cid:durableId="20562727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2E3CE2"/>
    <w:rsid w:val="00317219"/>
    <w:rsid w:val="005F064A"/>
    <w:rsid w:val="00836B73"/>
    <w:rsid w:val="00BD27C1"/>
    <w:rsid w:val="00C84536"/>
    <w:rsid w:val="00E97EB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artners/RegionalCentres/BusinessPlans/tabid/2336/Default.aspx" TargetMode="External"/><Relationship Id="rId2" Type="http://schemas.openxmlformats.org/officeDocument/2006/relationships/hyperlink" Target="http://www.basel.int/Partners/RegionalCentres/ActivityReports/tabid/2992/Default.aspx" TargetMode="External"/><Relationship Id="rId1" Type="http://schemas.openxmlformats.org/officeDocument/2006/relationships/hyperlink" Target="http://www.brsmeas.org/tabid/48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859</Words>
  <Characters>4899</Characters>
  <Application>Microsoft Office Word</Application>
  <DocSecurity>0</DocSecurity>
  <Lines>40</Lines>
  <Paragraphs>11</Paragraphs>
  <ScaleCrop>false</ScaleCrop>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2023-04-27T12:55:00Z</dcterms:created>
  <dcterms:modified xsi:type="dcterms:W3CDTF">2023-04-27T12:55:00Z</dcterms:modified>
</cp:coreProperties>
</file>